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1EBDA">
      <w:pPr>
        <w:pStyle w:val="7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Proiectul didactic al lecției</w:t>
      </w:r>
    </w:p>
    <w:p w14:paraId="45BB3314">
      <w:pPr>
        <w:pStyle w:val="7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Disciplina: Matematică</w:t>
      </w:r>
    </w:p>
    <w:p w14:paraId="1B51352C">
      <w:pPr>
        <w:pStyle w:val="7"/>
        <w:spacing w:line="360" w:lineRule="auto"/>
        <w:jc w:val="both"/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Clasa: a XII-a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, profil uman</w:t>
      </w:r>
    </w:p>
    <w:p w14:paraId="5ADCB1E1">
      <w:pPr>
        <w:pStyle w:val="7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Unitatea de conținut: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Elemente de teoria probabilităților.</w:t>
      </w:r>
    </w:p>
    <w:p w14:paraId="0B6D86C6">
      <w:pPr>
        <w:pStyle w:val="7"/>
        <w:spacing w:line="360" w:lineRule="auto"/>
        <w:jc w:val="both"/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Numărul lecției în unitatea de conținut (conform proiectării didactice de lungă durată): 3/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46</w:t>
      </w:r>
    </w:p>
    <w:p w14:paraId="63013A83">
      <w:pPr>
        <w:widowControl w:val="0"/>
        <w:autoSpaceDE w:val="0"/>
        <w:autoSpaceDN w:val="0"/>
        <w:spacing w:before="31" w:line="360" w:lineRule="auto"/>
        <w:rPr>
          <w:rFonts w:eastAsia="DejaVu Sans"/>
          <w:color w:val="FF0000"/>
          <w:sz w:val="24"/>
          <w:szCs w:val="24"/>
          <w:lang w:eastAsia="en-US"/>
        </w:rPr>
      </w:pPr>
      <w:r>
        <w:rPr>
          <w:rFonts w:eastAsia="DejaVu Sans"/>
          <w:b/>
          <w:i/>
          <w:color w:val="231F20"/>
          <w:sz w:val="24"/>
          <w:szCs w:val="24"/>
          <w:lang w:eastAsia="en-US"/>
        </w:rPr>
        <w:t>Durata lecției</w:t>
      </w:r>
      <w:r>
        <w:rPr>
          <w:rFonts w:eastAsia="DejaVu Sans"/>
          <w:i/>
          <w:color w:val="FF0000"/>
          <w:sz w:val="24"/>
          <w:szCs w:val="24"/>
          <w:lang w:eastAsia="en-US"/>
        </w:rPr>
        <w:t xml:space="preserve">: </w:t>
      </w:r>
      <w:r>
        <w:rPr>
          <w:rFonts w:eastAsia="DejaVu Sans"/>
          <w:b/>
          <w:bCs/>
          <w:i/>
          <w:iCs/>
          <w:sz w:val="24"/>
          <w:szCs w:val="24"/>
          <w:lang w:eastAsia="en-US"/>
        </w:rPr>
        <w:t>45</w:t>
      </w:r>
      <w:r>
        <w:rPr>
          <w:rFonts w:hint="default" w:eastAsia="DejaVu Sans"/>
          <w:b/>
          <w:bCs/>
          <w:i/>
          <w:iCs/>
          <w:sz w:val="24"/>
          <w:szCs w:val="24"/>
          <w:lang w:eastAsia="en-US"/>
        </w:rPr>
        <w:t xml:space="preserve"> de </w:t>
      </w:r>
      <w:r>
        <w:rPr>
          <w:rFonts w:eastAsia="DejaVu Sans"/>
          <w:b/>
          <w:bCs/>
          <w:i/>
          <w:iCs/>
          <w:sz w:val="24"/>
          <w:szCs w:val="24"/>
          <w:lang w:eastAsia="en-US"/>
        </w:rPr>
        <w:t xml:space="preserve"> min</w:t>
      </w:r>
      <w:r>
        <w:rPr>
          <w:rFonts w:hint="default" w:eastAsia="DejaVu Sans"/>
          <w:b/>
          <w:bCs/>
          <w:i/>
          <w:iCs/>
          <w:sz w:val="24"/>
          <w:szCs w:val="24"/>
          <w:lang w:eastAsia="en-US"/>
        </w:rPr>
        <w:t>ute</w:t>
      </w:r>
      <w:r>
        <w:rPr>
          <w:rFonts w:eastAsia="DejaVu Sans"/>
          <w:b/>
          <w:bCs/>
          <w:i/>
          <w:iCs/>
          <w:sz w:val="24"/>
          <w:szCs w:val="24"/>
          <w:lang w:eastAsia="en-US"/>
        </w:rPr>
        <w:t>.</w:t>
      </w:r>
    </w:p>
    <w:p w14:paraId="62B130FE">
      <w:pPr>
        <w:pStyle w:val="7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Subiectul lecției: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 xml:space="preserve"> Rezolvarea problemelor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0C700D50">
      <w:pPr>
        <w:pStyle w:val="7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Unități de competență:</w:t>
      </w:r>
    </w:p>
    <w:p w14:paraId="0BA8BA66">
      <w:pPr>
        <w:spacing w:line="360" w:lineRule="auto"/>
        <w:jc w:val="both"/>
        <w:rPr>
          <w:sz w:val="24"/>
          <w:szCs w:val="24"/>
          <w:lang w:val="ro-RO"/>
        </w:rPr>
      </w:pPr>
      <w:r>
        <w:rPr>
          <w:b/>
          <w:bCs/>
          <w:i w:val="0"/>
          <w:iCs w:val="0"/>
          <w:sz w:val="24"/>
          <w:szCs w:val="24"/>
        </w:rPr>
        <w:t>3.1</w:t>
      </w:r>
      <w:r>
        <w:rPr>
          <w:b/>
          <w:bCs/>
          <w:i/>
          <w:iCs/>
          <w:sz w:val="24"/>
          <w:szCs w:val="24"/>
        </w:rPr>
        <w:t>.</w:t>
      </w:r>
      <w:r>
        <w:rPr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 xml:space="preserve">Identificarea </w:t>
      </w:r>
      <w:r>
        <w:rPr>
          <w:sz w:val="24"/>
          <w:szCs w:val="24"/>
          <w:lang w:val="ro-RO"/>
        </w:rPr>
        <w:t xml:space="preserve">și </w:t>
      </w:r>
      <w:r>
        <w:rPr>
          <w:b/>
          <w:sz w:val="24"/>
          <w:szCs w:val="24"/>
          <w:lang w:val="ro-RO"/>
        </w:rPr>
        <w:t>clasificarea</w:t>
      </w:r>
      <w:r>
        <w:rPr>
          <w:sz w:val="24"/>
          <w:szCs w:val="24"/>
          <w:lang w:val="ro-RO"/>
        </w:rPr>
        <w:t xml:space="preserve"> evenimentelor după diverse criterii.</w:t>
      </w:r>
    </w:p>
    <w:p w14:paraId="336A2E6B">
      <w:pPr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  <w:lang w:val="ro-RO" w:eastAsia="ja-JP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ro-RO" w:eastAsia="ja-JP"/>
        </w:rPr>
        <w:t>3.3</w:t>
      </w:r>
      <w:r>
        <w:rPr>
          <w:rFonts w:ascii="Times New Roman" w:hAnsi="Times New Roman" w:eastAsia="Calibri" w:cs="Times New Roman"/>
          <w:bCs/>
          <w:sz w:val="24"/>
          <w:szCs w:val="24"/>
          <w:lang w:val="ro-RO" w:eastAsia="ja-JP"/>
        </w:rPr>
        <w:t>.</w:t>
      </w:r>
      <w:r>
        <w:rPr>
          <w:rFonts w:ascii="Times New Roman" w:hAnsi="Times New Roman" w:eastAsia="Calibri" w:cs="Times New Roman"/>
          <w:sz w:val="24"/>
          <w:szCs w:val="24"/>
          <w:lang w:val="ro-RO" w:eastAsia="ja-JP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  <w:lang w:val="ro-RO" w:eastAsia="ja-JP"/>
        </w:rPr>
        <w:t xml:space="preserve">Calcularea </w:t>
      </w:r>
      <w:r>
        <w:rPr>
          <w:rFonts w:ascii="Times New Roman" w:hAnsi="Times New Roman" w:eastAsia="Calibri" w:cs="Times New Roman"/>
          <w:sz w:val="24"/>
          <w:szCs w:val="24"/>
          <w:lang w:val="ro-RO" w:eastAsia="ja-JP"/>
        </w:rPr>
        <w:t>probabilității producerii unui eveniment în situații reale și/sau modelate.</w:t>
      </w:r>
    </w:p>
    <w:p w14:paraId="0B839FC2">
      <w:pPr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  <w:lang w:val="ro-RO" w:eastAsia="ja-JP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ro-RO" w:eastAsia="ja-JP"/>
        </w:rPr>
        <w:t>3.4</w:t>
      </w:r>
      <w:r>
        <w:rPr>
          <w:rFonts w:ascii="Times New Roman" w:hAnsi="Times New Roman" w:eastAsia="Calibri" w:cs="Times New Roman"/>
          <w:bCs/>
          <w:sz w:val="24"/>
          <w:szCs w:val="24"/>
          <w:lang w:val="ro-RO" w:eastAsia="ja-JP"/>
        </w:rPr>
        <w:t>.</w:t>
      </w:r>
      <w:r>
        <w:rPr>
          <w:rFonts w:ascii="Times New Roman" w:hAnsi="Times New Roman" w:eastAsia="Calibri" w:cs="Times New Roman"/>
          <w:b/>
          <w:sz w:val="24"/>
          <w:szCs w:val="24"/>
          <w:lang w:val="ro-RO" w:eastAsia="ja-JP"/>
        </w:rPr>
        <w:t xml:space="preserve"> Aplicarea</w:t>
      </w:r>
      <w:r>
        <w:rPr>
          <w:rFonts w:ascii="Times New Roman" w:hAnsi="Times New Roman" w:eastAsia="Calibri" w:cs="Times New Roman"/>
          <w:sz w:val="24"/>
          <w:szCs w:val="24"/>
          <w:lang w:val="ro-RO" w:eastAsia="ja-JP"/>
        </w:rPr>
        <w:t xml:space="preserve">  elementelor studiate de  teorie a probabilităților, pentru a identifica și a explica procese, fenomene din diverse domenii.</w:t>
      </w:r>
    </w:p>
    <w:p w14:paraId="539483A2">
      <w:pPr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  <w:lang w:val="ro-RO" w:eastAsia="ja-JP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ro-RO" w:eastAsia="ja-JP"/>
        </w:rPr>
        <w:t>3.5.</w:t>
      </w:r>
      <w:r>
        <w:rPr>
          <w:rFonts w:ascii="Times New Roman" w:hAnsi="Times New Roman" w:eastAsia="Calibri" w:cs="Times New Roman"/>
          <w:sz w:val="24"/>
          <w:szCs w:val="24"/>
          <w:lang w:val="ro-RO" w:eastAsia="ja-JP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  <w:lang w:val="ro-RO" w:eastAsia="ja-JP"/>
        </w:rPr>
        <w:t xml:space="preserve">Interpretarea </w:t>
      </w:r>
      <w:r>
        <w:rPr>
          <w:rFonts w:ascii="Times New Roman" w:hAnsi="Times New Roman" w:eastAsia="Calibri" w:cs="Times New Roman"/>
          <w:sz w:val="24"/>
          <w:szCs w:val="24"/>
          <w:lang w:val="ro-RO" w:eastAsia="ja-JP"/>
        </w:rPr>
        <w:t>și</w:t>
      </w:r>
      <w:r>
        <w:rPr>
          <w:rFonts w:ascii="Times New Roman" w:hAnsi="Times New Roman" w:eastAsia="Calibri" w:cs="Times New Roman"/>
          <w:b/>
          <w:sz w:val="24"/>
          <w:szCs w:val="24"/>
          <w:lang w:val="ro-RO" w:eastAsia="ja-JP"/>
        </w:rPr>
        <w:t xml:space="preserve"> transpunerea</w:t>
      </w:r>
      <w:r>
        <w:rPr>
          <w:rFonts w:ascii="Times New Roman" w:hAnsi="Times New Roman" w:eastAsia="Calibri" w:cs="Times New Roman"/>
          <w:sz w:val="24"/>
          <w:szCs w:val="24"/>
          <w:lang w:val="ro-RO" w:eastAsia="ja-JP"/>
        </w:rPr>
        <w:t xml:space="preserve"> în limbaj matematic a unor situații practice cu ajutorul conceptelor probabilistice.</w:t>
      </w:r>
    </w:p>
    <w:p w14:paraId="7D0B66BD">
      <w:pPr>
        <w:pStyle w:val="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Obiectivele lecției: </w:t>
      </w:r>
      <w:r>
        <w:rPr>
          <w:rFonts w:ascii="Times New Roman" w:hAnsi="Times New Roman" w:cs="Times New Roman"/>
          <w:sz w:val="24"/>
          <w:szCs w:val="24"/>
        </w:rPr>
        <w:t>La finele lecției, elevii vor fi capabili:</w:t>
      </w:r>
    </w:p>
    <w:p w14:paraId="5ABB2366">
      <w:pPr>
        <w:pStyle w:val="7"/>
        <w:spacing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O.1. – Să definească noțiunea de eveniment.</w:t>
      </w:r>
    </w:p>
    <w:p w14:paraId="3428FA23">
      <w:pPr>
        <w:pStyle w:val="7"/>
        <w:spacing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O.2. –</w:t>
      </w:r>
      <w:r>
        <w:rPr>
          <w:rFonts w:hint="default"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Să clasifice evenimentele după diverse criterii.</w:t>
      </w:r>
    </w:p>
    <w:p w14:paraId="63A1CFB9">
      <w:pPr>
        <w:pStyle w:val="7"/>
        <w:spacing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O.3. –</w:t>
      </w:r>
      <w:r>
        <w:rPr>
          <w:rFonts w:hint="default"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Să </w:t>
      </w:r>
      <w:r>
        <w:rPr>
          <w:rFonts w:hint="default" w:ascii="Times New Roman" w:hAnsi="Times New Roman" w:cs="Times New Roman"/>
          <w:b/>
          <w:bCs/>
          <w:iCs/>
          <w:sz w:val="24"/>
          <w:szCs w:val="24"/>
        </w:rPr>
        <w:t>aplice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terminologia și notațiile aferente elementelor de teoria probabilităților în diverse contexte.</w:t>
      </w:r>
    </w:p>
    <w:p w14:paraId="05E88ED4">
      <w:pPr>
        <w:pStyle w:val="7"/>
        <w:spacing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O.4. –</w:t>
      </w:r>
      <w:r>
        <w:rPr>
          <w:rFonts w:hint="default"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Să </w:t>
      </w:r>
      <w:r>
        <w:rPr>
          <w:rFonts w:hint="default" w:ascii="Times New Roman" w:hAnsi="Times New Roman" w:cs="Times New Roman"/>
          <w:b/>
          <w:bCs/>
          <w:iCs/>
          <w:sz w:val="24"/>
          <w:szCs w:val="24"/>
        </w:rPr>
        <w:t>interpreteze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elementele studiate de teoria probabilităților în procese, fenomene din diverse domenii.</w:t>
      </w:r>
    </w:p>
    <w:p w14:paraId="72B7378B">
      <w:pPr>
        <w:pStyle w:val="7"/>
        <w:spacing w:line="360" w:lineRule="auto"/>
        <w:jc w:val="both"/>
        <w:rPr>
          <w:rFonts w:ascii="Times New Roman" w:hAnsi="Times New Roman" w:eastAsia="Calibri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Tipul lecției:</w:t>
      </w:r>
      <w:r>
        <w:rPr>
          <w:rFonts w:ascii="Times New Roman" w:hAnsi="Times New Roman" w:eastAsia="Calibri"/>
          <w:sz w:val="24"/>
          <w:szCs w:val="24"/>
          <w:lang w:val="en-US"/>
        </w:rPr>
        <w:t xml:space="preserve"> Lecția de formare a capacităților de </w:t>
      </w:r>
      <w:r>
        <w:rPr>
          <w:rFonts w:hint="default" w:ascii="Times New Roman" w:hAnsi="Times New Roman" w:eastAsia="Calibri"/>
          <w:sz w:val="24"/>
          <w:szCs w:val="24"/>
        </w:rPr>
        <w:t>aplicare</w:t>
      </w:r>
      <w:r>
        <w:rPr>
          <w:rFonts w:ascii="Times New Roman" w:hAnsi="Times New Roman" w:eastAsia="Calibri"/>
          <w:sz w:val="24"/>
          <w:szCs w:val="24"/>
          <w:lang w:val="en-US"/>
        </w:rPr>
        <w:t xml:space="preserve"> a cunoștințelor.</w:t>
      </w:r>
    </w:p>
    <w:p w14:paraId="38EFFA60">
      <w:pPr>
        <w:pStyle w:val="7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Tehnologii didactice:</w:t>
      </w:r>
    </w:p>
    <w:p w14:paraId="6C7EE3A0">
      <w:pPr>
        <w:pStyle w:val="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Forme: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frontală</w:t>
      </w:r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în perechi</w:t>
      </w:r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individual.</w:t>
      </w:r>
    </w:p>
    <w:p w14:paraId="44A4D974">
      <w:pPr>
        <w:pStyle w:val="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Metode: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metoda exercițiului</w:t>
      </w:r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algoritmizarea</w:t>
      </w:r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problematizarea</w:t>
      </w:r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metoda lucrului cu manualul.</w:t>
      </w:r>
    </w:p>
    <w:p w14:paraId="684DAD18">
      <w:pPr>
        <w:pStyle w:val="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Mijloace de învățământ:</w:t>
      </w:r>
    </w:p>
    <w:p w14:paraId="3C852D2E">
      <w:pPr>
        <w:pStyle w:val="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I. Achiri, V. Ciobanu, P. Efros, V. Garit, V. Neagu, A. Poștaru, N. Prodan, D. Taragan, A. Topală. Matematică. Manual pentru clasa a XII-a.</w:t>
      </w:r>
      <w:r>
        <w:rPr>
          <w:rFonts w:ascii="Times New Roman" w:hAnsi="Times New Roman" w:cs="Times New Roman"/>
          <w:sz w:val="24"/>
          <w:szCs w:val="24"/>
        </w:rPr>
        <w:t xml:space="preserve"> Editura Prut Internațional. Chișinău, 2023;</w:t>
      </w:r>
    </w:p>
    <w:p w14:paraId="4199EA12">
      <w:pPr>
        <w:pStyle w:val="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Computerul</w:t>
      </w:r>
      <w:r>
        <w:rPr>
          <w:rFonts w:hint="default" w:ascii="Times New Roman" w:hAnsi="Times New Roman" w:cs="Times New Roman"/>
          <w:sz w:val="24"/>
          <w:szCs w:val="24"/>
        </w:rPr>
        <w:t>, p</w:t>
      </w:r>
      <w:r>
        <w:rPr>
          <w:rFonts w:ascii="Times New Roman" w:hAnsi="Times New Roman" w:cs="Times New Roman"/>
          <w:sz w:val="24"/>
          <w:szCs w:val="24"/>
        </w:rPr>
        <w:t>roiectorul sau tabla interactivă</w:t>
      </w:r>
      <w:r>
        <w:rPr>
          <w:rFonts w:hint="default" w:ascii="Times New Roman" w:hAnsi="Times New Roman" w:cs="Times New Roman"/>
          <w:sz w:val="24"/>
          <w:szCs w:val="24"/>
        </w:rPr>
        <w:t>, f</w:t>
      </w:r>
      <w:r>
        <w:rPr>
          <w:rFonts w:ascii="Times New Roman" w:hAnsi="Times New Roman" w:cs="Times New Roman"/>
          <w:sz w:val="24"/>
          <w:szCs w:val="24"/>
        </w:rPr>
        <w:t>ișa cu probleme, posterul cu sarcini.</w:t>
      </w:r>
    </w:p>
    <w:p w14:paraId="6E535014">
      <w:pPr>
        <w:pStyle w:val="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Evaluarea: </w:t>
      </w:r>
      <w:r>
        <w:rPr>
          <w:rFonts w:ascii="Times New Roman" w:hAnsi="Times New Roman" w:cs="Times New Roman"/>
          <w:sz w:val="24"/>
          <w:szCs w:val="24"/>
        </w:rPr>
        <w:t>formativă, evaluare orală și în scris, reciprocă;  produse: problemă rezolvată, răspuns oral, exercițiu rezolvat, poster completat; lucrare independentă cu apreciere cu note.</w:t>
      </w:r>
    </w:p>
    <w:p w14:paraId="0EDAE309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2767EAAA">
      <w:pPr>
        <w:pStyle w:val="7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  <w:sectPr>
          <w:pgSz w:w="12240" w:h="15840"/>
          <w:pgMar w:top="1803" w:right="1440" w:bottom="1803" w:left="1440" w:header="720" w:footer="720" w:gutter="0"/>
          <w:cols w:space="0" w:num="1"/>
          <w:rtlGutter w:val="0"/>
          <w:docGrid w:linePitch="360" w:charSpace="0"/>
        </w:sectPr>
      </w:pPr>
    </w:p>
    <w:p w14:paraId="5A9343D6">
      <w:pPr>
        <w:pStyle w:val="7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A080BB2">
      <w:pPr>
        <w:pStyle w:val="7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316C4EA">
      <w:pPr>
        <w:pStyle w:val="7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81F9155">
      <w:pPr>
        <w:pStyle w:val="7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Scenariul lecției</w:t>
      </w:r>
    </w:p>
    <w:tbl>
      <w:tblPr>
        <w:tblStyle w:val="6"/>
        <w:tblW w:w="14035" w:type="dxa"/>
        <w:tblInd w:w="-5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1184"/>
        <w:gridCol w:w="7893"/>
        <w:gridCol w:w="990"/>
        <w:gridCol w:w="1912"/>
      </w:tblGrid>
      <w:tr w14:paraId="64D2A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6" w:type="dxa"/>
            <w:vAlign w:val="center"/>
          </w:tcPr>
          <w:p w14:paraId="480E6B8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Etapele activității didactice</w:t>
            </w:r>
          </w:p>
        </w:tc>
        <w:tc>
          <w:tcPr>
            <w:tcW w:w="1184" w:type="dxa"/>
            <w:vAlign w:val="center"/>
          </w:tcPr>
          <w:p w14:paraId="6C40693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Obiective</w:t>
            </w:r>
          </w:p>
        </w:tc>
        <w:tc>
          <w:tcPr>
            <w:tcW w:w="7893" w:type="dxa"/>
            <w:vAlign w:val="center"/>
          </w:tcPr>
          <w:p w14:paraId="7E116C3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Demersul acțional al lecției</w:t>
            </w:r>
          </w:p>
        </w:tc>
        <w:tc>
          <w:tcPr>
            <w:tcW w:w="990" w:type="dxa"/>
            <w:vAlign w:val="center"/>
          </w:tcPr>
          <w:p w14:paraId="376EB1C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Timp</w:t>
            </w:r>
          </w:p>
          <w:p w14:paraId="7D72A41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(în minute)</w:t>
            </w:r>
          </w:p>
        </w:tc>
        <w:tc>
          <w:tcPr>
            <w:tcW w:w="1912" w:type="dxa"/>
            <w:vAlign w:val="center"/>
          </w:tcPr>
          <w:p w14:paraId="2028172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Tehnologia realizării</w:t>
            </w:r>
          </w:p>
          <w:p w14:paraId="320E2C9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-89" w:right="-104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(Metodă/Formă de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activitate/Resurse)</w:t>
            </w:r>
          </w:p>
        </w:tc>
      </w:tr>
      <w:tr w14:paraId="4DE20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6" w:type="dxa"/>
          </w:tcPr>
          <w:p w14:paraId="011D467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Evocare</w:t>
            </w:r>
          </w:p>
        </w:tc>
        <w:tc>
          <w:tcPr>
            <w:tcW w:w="1184" w:type="dxa"/>
          </w:tcPr>
          <w:p w14:paraId="5B25A54A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7893" w:type="dxa"/>
          </w:tcPr>
          <w:p w14:paraId="4E42E219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both"/>
              <w:textAlignment w:val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lang w:val="en-US"/>
              </w:rPr>
              <w:t xml:space="preserve">  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/>
              </w:rPr>
              <w:t>Momentul organizatoric.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 xml:space="preserve"> Verificarea temei pentru acasă. Aveți întrebări la tema pentru acasă ?</w:t>
            </w:r>
          </w:p>
          <w:p w14:paraId="520A2A60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both"/>
              <w:textAlignment w:val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STIAȚI CĂ: Rezolvând corect rebusul veți descoperi noțiunile utilizate în capitolul ”Probabilități”.</w:t>
            </w:r>
          </w:p>
        </w:tc>
        <w:tc>
          <w:tcPr>
            <w:tcW w:w="990" w:type="dxa"/>
          </w:tcPr>
          <w:p w14:paraId="76E8B2B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2" w:type="dxa"/>
          </w:tcPr>
          <w:p w14:paraId="033C0EE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Activitate frontală.</w:t>
            </w:r>
          </w:p>
          <w:p w14:paraId="581C39C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Anexa 1</w:t>
            </w:r>
          </w:p>
        </w:tc>
      </w:tr>
      <w:tr w14:paraId="0AB0C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6" w:type="dxa"/>
          </w:tcPr>
          <w:p w14:paraId="7323097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Reflecție</w:t>
            </w:r>
          </w:p>
        </w:tc>
        <w:tc>
          <w:tcPr>
            <w:tcW w:w="1184" w:type="dxa"/>
          </w:tcPr>
          <w:p w14:paraId="2A39F416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Chars="0" w:firstLine="240" w:firstLineChars="1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O. 2</w:t>
            </w:r>
          </w:p>
          <w:p w14:paraId="28C5BD80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0CCB1B8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O. 3.</w:t>
            </w:r>
          </w:p>
          <w:p w14:paraId="6E352EFF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DB11AE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3" w:type="dxa"/>
          </w:tcPr>
          <w:p w14:paraId="2F13A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Problema 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O urnă conţine 5 bile albe, 3 bile negre şi 4 bile roşii. Se extrag concomitent 4 bile. Se consideră evenimentele: </w:t>
            </w:r>
            <w:r>
              <w:rPr>
                <w:rFonts w:hint="default" w:ascii="Times New Roman" w:hAnsi="Times New Roman" w:eastAsia="TimesNewRomanPS-ItalicMT" w:cs="Times New Roman"/>
                <w:i/>
                <w:iCs/>
                <w:color w:val="231F2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1 = {se extrag bile de două culori}, </w:t>
            </w:r>
            <w:r>
              <w:rPr>
                <w:rFonts w:hint="default" w:ascii="Times New Roman" w:hAnsi="Times New Roman" w:eastAsia="TimesNewRomanPS-ItalicMT" w:cs="Times New Roman"/>
                <w:i/>
                <w:iCs/>
                <w:color w:val="231F2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2 = {se extrag cel puţin două bile albe}, </w:t>
            </w:r>
            <w:r>
              <w:rPr>
                <w:rFonts w:hint="default" w:ascii="Times New Roman" w:hAnsi="Times New Roman" w:eastAsia="TimesNewRomanPS-ItalicMT" w:cs="Times New Roman"/>
                <w:i/>
                <w:iCs/>
                <w:color w:val="231F2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>3 = {se extrag 3 bile roşii},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hint="default" w:ascii="Times New Roman" w:hAnsi="Times New Roman" w:eastAsia="TimesNewRomanPS-ItalicMT" w:cs="Times New Roman"/>
                <w:i/>
                <w:iCs/>
                <w:color w:val="231F2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4 = {se extrag: o bilă neagră şi cel puţin o bilă roşie}. </w:t>
            </w:r>
          </w:p>
          <w:p w14:paraId="6E651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a) Să se indice câteva perechi de evenimente (dintre cele enunţate) incompatibile şi câteva perechi de evenimente compatibile. </w:t>
            </w:r>
          </w:p>
          <w:p w14:paraId="2FDA2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b) Ce reprezintă evenimentele </w:t>
            </w:r>
            <w:r>
              <w:rPr>
                <w:rFonts w:hint="default" w:ascii="Times New Roman" w:hAnsi="Times New Roman" w:eastAsia="TimesNewRomanPS-ItalicMT" w:cs="Times New Roman"/>
                <w:i/>
                <w:iCs/>
                <w:color w:val="231F2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2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shd w:val="clear" w:fill="FFFFFF"/>
              </w:rPr>
              <w:t>∩</w:t>
            </w:r>
            <w:r>
              <w:rPr>
                <w:rFonts w:hint="default" w:ascii="Times New Roman" w:hAnsi="Times New Roman" w:eastAsia="MT Extra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TimesNewRomanPS-ItalicMT" w:cs="Times New Roman"/>
                <w:i/>
                <w:iCs/>
                <w:color w:val="231F2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3 , </w:t>
            </w:r>
            <w:r>
              <w:rPr>
                <w:rFonts w:hint="default" w:ascii="Times New Roman" w:hAnsi="Times New Roman" w:eastAsia="TimesNewRomanPS-ItalicMT" w:cs="Times New Roman"/>
                <w:i/>
                <w:iCs/>
                <w:color w:val="231F2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3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1F1F1F"/>
                <w:spacing w:val="0"/>
                <w:sz w:val="24"/>
                <w:szCs w:val="24"/>
                <w:shd w:val="clear" w:fill="FFFFFF"/>
              </w:rPr>
              <w:t>∩</w:t>
            </w:r>
            <w:r>
              <w:rPr>
                <w:rFonts w:hint="default" w:ascii="Times New Roman" w:hAnsi="Times New Roman" w:eastAsia="MT Extra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TimesNewRomanPS-ItalicMT" w:cs="Times New Roman"/>
                <w:i/>
                <w:iCs/>
                <w:color w:val="231F2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>4 ?</w:t>
            </w:r>
          </w:p>
          <w:p w14:paraId="2E45C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231F20"/>
                <w:kern w:val="0"/>
                <w:sz w:val="24"/>
                <w:szCs w:val="24"/>
                <w:lang w:eastAsia="zh-CN" w:bidi="ar"/>
              </w:rPr>
              <w:t>Problema 2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eastAsia="zh-CN" w:bidi="ar"/>
              </w:rPr>
              <w:t xml:space="preserve">: 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Cu literele 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231F2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 b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231F20"/>
                <w:kern w:val="0"/>
                <w:sz w:val="24"/>
                <w:szCs w:val="24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231F20"/>
                <w:kern w:val="0"/>
                <w:sz w:val="24"/>
                <w:szCs w:val="24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231F20"/>
                <w:kern w:val="0"/>
                <w:sz w:val="24"/>
                <w:szCs w:val="24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>, calculatorul generează în mod aleator un cod din 5 simboluri, astfel încât fiecare literă se conţine o singură dată. Determinaţi probabilitatea că în cod primul simbol va fi vocală.</w:t>
            </w:r>
          </w:p>
          <w:p w14:paraId="63500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231F20"/>
                <w:kern w:val="0"/>
                <w:sz w:val="24"/>
                <w:szCs w:val="24"/>
                <w:lang w:eastAsia="zh-CN" w:bidi="ar"/>
              </w:rPr>
              <w:t>Problema 3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eastAsia="zh-CN" w:bidi="ar"/>
              </w:rPr>
              <w:t>: P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>robabilitatea că într-o zi de iulie va ploua este egală cu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position w:val="-24"/>
                <w:sz w:val="24"/>
                <w:szCs w:val="24"/>
                <w:lang w:eastAsia="zh-CN" w:bidi="ar"/>
              </w:rPr>
              <w:object>
                <v:shape id="_x0000_i1025" o:spt="75" type="#_x0000_t75" style="height:31pt;width:12pt;" o:ole="t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KSEE3" ShapeID="_x0000_i1025" DrawAspect="Content" ObjectID="_1468075725" r:id="rId6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>. Determinaţi probabilitatea că în două din primele trei zile din luna iulie va ploua.</w:t>
            </w:r>
          </w:p>
          <w:p w14:paraId="2BAA5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231F20"/>
                <w:kern w:val="0"/>
                <w:sz w:val="24"/>
                <w:szCs w:val="24"/>
                <w:lang w:eastAsia="zh-CN" w:bidi="ar"/>
              </w:rPr>
              <w:t>Problema 4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eastAsia="zh-CN" w:bidi="ar"/>
              </w:rPr>
              <w:t xml:space="preserve">: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Pe un raft sunt 10 cărți, dintre care câteva sunt de matematică. Probabilitatea că două cărți luate la întâmplare de pe raft vor fi de matematică este egală cu 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position w:val="-24"/>
                <w:sz w:val="24"/>
                <w:szCs w:val="24"/>
                <w:lang w:eastAsia="zh-CN" w:bidi="ar"/>
              </w:rPr>
              <w:object>
                <v:shape id="_x0000_i1026" o:spt="75" type="#_x0000_t75" style="height:31pt;width:11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KSEE3" ShapeID="_x0000_i1026" DrawAspect="Content" ObjectID="_1468075726" r:id="rId8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. Câte cărți de matematică sunt pe raft?</w:t>
            </w:r>
          </w:p>
          <w:p w14:paraId="56835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Problema 5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: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Într-o cutie sunt 16 pixuri, identice ca formă, de 2 culori: albastră şi neagră. Se extrag la întâmplare 2 pixuri din cutie. Se ştie că probabilitatea extragerii la întâmplare a două pixuri de culoare albastră nu este mai mică decât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position w:val="-24"/>
                <w:sz w:val="24"/>
                <w:szCs w:val="24"/>
                <w:lang w:eastAsia="zh-CN" w:bidi="ar"/>
              </w:rPr>
              <w:object>
                <v:shape id="_x0000_i1027" o:spt="75" type="#_x0000_t75" style="height:31pt;width:12pt;" o:ole="t" filled="f" o:preferrelative="t" stroked="f" coordsize="21600,21600">
                  <v:path/>
                  <v:fill on="f" focussize="0,0"/>
                  <v:stroke on="f"/>
                  <v:imagedata r:id="rId11" o:title=""/>
                  <o:lock v:ext="edit" aspectratio="t"/>
                  <w10:wrap type="none"/>
                  <w10:anchorlock/>
                </v:shape>
                <o:OLEObject Type="Embed" ProgID="Equation.KSEE3" ShapeID="_x0000_i1027" DrawAspect="Content" ObjectID="_1468075727" r:id="rId10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.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eastAsia="zh-CN" w:bidi="ar"/>
              </w:rPr>
              <w:t>D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eterminaţi câte pixuri de culoare albastră sunt în cutie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eastAsia="zh-CN" w:bidi="ar"/>
              </w:rPr>
              <w:t>.</w:t>
            </w:r>
          </w:p>
          <w:p w14:paraId="7E36D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Problema 6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: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Într-o cutie sunt 10 detalii identice dintre care câteva sunt rebut. Se ştie că probabilitatea că s-au luat aleator 2 detalii rebut este egală cu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position w:val="-24"/>
                <w:sz w:val="24"/>
                <w:szCs w:val="24"/>
                <w:lang w:eastAsia="zh-CN" w:bidi="ar"/>
              </w:rPr>
              <w:object>
                <v:shape id="_x0000_i1028" o:spt="75" type="#_x0000_t75" style="height:31pt;width:16pt;" o:ole="t" filled="f" o:preferrelative="t" stroked="f" coordsize="21600,21600">
                  <v:path/>
                  <v:fill on="f" focussize="0,0"/>
                  <v:stroke on="f"/>
                  <v:imagedata r:id="rId13" o:title=""/>
                  <o:lock v:ext="edit" aspectratio="t"/>
                  <w10:wrap type="none"/>
                  <w10:anchorlock/>
                </v:shape>
                <o:OLEObject Type="Embed" ProgID="Equation.KSEE3" ShapeID="_x0000_i1028" DrawAspect="Content" ObjectID="_1468075728" r:id="rId12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.Determinaţi câte procente dintre detaliile din cutie sunt rebut.</w:t>
            </w:r>
          </w:p>
          <w:p w14:paraId="13D86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Problema 7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: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Probabilitatea nerambursării la timp a creditului, acordat de către o bancă, este egală cu 0,1. Banca a acordat trei credite. Să se calculeze proba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bilitatea ca unul dintre aceste credite nu va fi rambursat la timp.</w:t>
            </w:r>
          </w:p>
          <w:p w14:paraId="43AB0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Problema 8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eastAsia="zh-CN" w:bidi="ar"/>
              </w:rPr>
              <w:t xml:space="preserve">: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La o tombolă sunt 30 de bilete, dintre care 3 câştigătoare. O persoană cumpără 4 bilete. Să se determine probabilitatea că cel puţin un bilet dintre cele cumpărate este câştigător.</w:t>
            </w:r>
          </w:p>
          <w:p w14:paraId="304A9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6E91E9D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textAlignment w:val="auto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Temă pentru acasă:  De rezolvat problemele:</w:t>
            </w:r>
          </w:p>
          <w:p w14:paraId="04DDB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Problema 1: 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Se aruncă un zar de două ori. Să se determine probabilitatea evenimentului: a) 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A 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= {la prima aruncare cade un număr de puncte mai mare decât la a doua aruncare}; b) 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B 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>= {suma punctelor este mai mică decât 5}.</w:t>
            </w:r>
          </w:p>
          <w:p w14:paraId="76807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Problema 2: 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Într-o ladă sunt 12 piese, dintre care 4 au defecte. În altă ladă sunt 15 piese, dintre care 3 au defecte. Din fiecare ladă se extrage câte o piesă. Să se determine probabilităţile </w:t>
            </w:r>
          </w:p>
          <w:p w14:paraId="6CAA8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evenimentelor aleatoare: 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231F2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 = {ambele piese sunt fără defecte}, </w:t>
            </w:r>
            <w:r>
              <w:rPr>
                <w:rFonts w:hint="default" w:ascii="Times New Roman" w:hAnsi="Times New Roman" w:eastAsia="SimSun" w:cs="Times New Roman"/>
                <w:i/>
                <w:iCs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B </w:t>
            </w:r>
            <w:r>
              <w:rPr>
                <w:rFonts w:hint="default" w:ascii="Times New Roman" w:hAnsi="Times New Roman" w:eastAsia="SimSun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>= {ambele piese sunt cu defecte}.</w:t>
            </w:r>
          </w:p>
        </w:tc>
        <w:tc>
          <w:tcPr>
            <w:tcW w:w="990" w:type="dxa"/>
          </w:tcPr>
          <w:p w14:paraId="73EDB81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</w:t>
            </w:r>
          </w:p>
          <w:p w14:paraId="0EF2472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6DDD58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A2BB53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E7B8BA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54E12C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7E9A2B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26CC98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379A5A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07E857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800EB4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D0AE83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393C93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54E7C1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892103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3A261C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21FF68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E80C8F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84D577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7793F9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B92007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FC360D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3D9E35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183C8B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634DE3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FBFBF2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740A68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2EB807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CEED47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3210E8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128975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9622E4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F9A992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C8E693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77143B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6235F9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/>
              </w:rPr>
              <w:t>5</w:t>
            </w:r>
          </w:p>
        </w:tc>
        <w:tc>
          <w:tcPr>
            <w:tcW w:w="1912" w:type="dxa"/>
          </w:tcPr>
          <w:p w14:paraId="37B06F4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343F3D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3803EF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96A8AE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Lucrul în grup</w:t>
            </w:r>
          </w:p>
          <w:p w14:paraId="05A0AE8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084A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drawing>
                <wp:inline distT="0" distB="0" distL="114300" distR="114300">
                  <wp:extent cx="1005840" cy="144145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t="12985" b="56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144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545F0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B764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Algoritmizarea</w:t>
            </w:r>
          </w:p>
          <w:p w14:paraId="67A275D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15AD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45A9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B54C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Problematizarea</w:t>
            </w:r>
          </w:p>
          <w:p w14:paraId="3D3E761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4945BE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A201A9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A2508C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C717E5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99593D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A5FD78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30A85E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EFD8F4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5B93F1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C21663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4A9949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D09AD8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DF8D3B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FE59D8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09B877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D11091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/>
              </w:rPr>
              <w:t>Explicația</w:t>
            </w:r>
          </w:p>
        </w:tc>
      </w:tr>
    </w:tbl>
    <w:p w14:paraId="0526D9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3D98A4F">
      <w:pPr>
        <w:pStyle w:val="7"/>
        <w:spacing w:line="360" w:lineRule="auto"/>
        <w:ind w:left="1080"/>
        <w:jc w:val="center"/>
        <w:rPr>
          <w:rFonts w:hint="default" w:ascii="Times New Roman" w:hAnsi="Times New Roman" w:cs="Times New Roman"/>
          <w:b/>
          <w:bCs/>
          <w:color w:val="FF0000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Anexa 1:</w:t>
      </w:r>
    </w:p>
    <w:p w14:paraId="55BF7BDA">
      <w:pPr>
        <w:pStyle w:val="7"/>
        <w:spacing w:line="360" w:lineRule="auto"/>
        <w:ind w:left="1080"/>
        <w:jc w:val="both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>STIAȚI CĂ: Rezolvând corect rebusul veți descoperi noțiunile utilizate în capitolul ”Probabilități”.</w:t>
      </w:r>
    </w:p>
    <w:tbl>
      <w:tblPr>
        <w:tblStyle w:val="6"/>
        <w:tblpPr w:leftFromText="180" w:rightFromText="180" w:vertAnchor="text" w:horzAnchor="page" w:tblpX="3151" w:tblpY="4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498"/>
        <w:gridCol w:w="498"/>
        <w:gridCol w:w="498"/>
        <w:gridCol w:w="498"/>
        <w:gridCol w:w="476"/>
        <w:gridCol w:w="655"/>
        <w:gridCol w:w="574"/>
        <w:gridCol w:w="529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</w:tblGrid>
      <w:tr w14:paraId="0AEF8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4195" w:type="dxa"/>
            <w:gridSpan w:val="8"/>
            <w:tcBorders>
              <w:top w:val="nil"/>
              <w:left w:val="nil"/>
              <w:bottom w:val="nil"/>
            </w:tcBorders>
          </w:tcPr>
          <w:p w14:paraId="45E4DCA7">
            <w:pPr>
              <w:pStyle w:val="7"/>
              <w:spacing w:line="360" w:lineRule="auto"/>
              <w:ind w:firstLine="720" w:firstLineChars="300"/>
              <w:jc w:val="right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  <w:t>1</w:t>
            </w:r>
          </w:p>
        </w:tc>
        <w:tc>
          <w:tcPr>
            <w:tcW w:w="529" w:type="dxa"/>
          </w:tcPr>
          <w:p w14:paraId="2EF17D41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164347E4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highlight w:val="lightGray"/>
                <w:vertAlign w:val="baseline"/>
              </w:rPr>
            </w:pPr>
          </w:p>
        </w:tc>
        <w:tc>
          <w:tcPr>
            <w:tcW w:w="530" w:type="dxa"/>
            <w:shd w:val="clear" w:color="auto" w:fill="E7E6E6" w:themeFill="background2"/>
          </w:tcPr>
          <w:p w14:paraId="0F4A1AD4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color w:val="BFBFBF" w:themeColor="background1" w:themeShade="BF"/>
                <w:sz w:val="24"/>
                <w:szCs w:val="24"/>
                <w:highlight w:val="lightGray"/>
                <w:vertAlign w:val="baseline"/>
              </w:rPr>
            </w:pPr>
          </w:p>
        </w:tc>
        <w:tc>
          <w:tcPr>
            <w:tcW w:w="530" w:type="dxa"/>
          </w:tcPr>
          <w:p w14:paraId="19314FAD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3CEB2051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3DECBDD7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5934E99D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1DEC4E85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43111623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10EB0A66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  <w:tcBorders>
              <w:top w:val="nil"/>
              <w:bottom w:val="nil"/>
              <w:right w:val="nil"/>
            </w:tcBorders>
          </w:tcPr>
          <w:p w14:paraId="6B651B32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</w:tr>
      <w:tr w14:paraId="4D8B1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120" w:type="dxa"/>
          <w:trHeight w:val="429" w:hRule="atLeast"/>
        </w:trPr>
        <w:tc>
          <w:tcPr>
            <w:tcW w:w="4724" w:type="dxa"/>
            <w:gridSpan w:val="9"/>
            <w:tcBorders>
              <w:top w:val="nil"/>
              <w:left w:val="nil"/>
              <w:bottom w:val="nil"/>
            </w:tcBorders>
          </w:tcPr>
          <w:p w14:paraId="429B0489">
            <w:pPr>
              <w:pStyle w:val="7"/>
              <w:spacing w:line="360" w:lineRule="auto"/>
              <w:ind w:firstLine="1320" w:firstLineChars="550"/>
              <w:jc w:val="right"/>
              <w:rPr>
                <w:rFonts w:hint="default" w:ascii="Times New Roman" w:hAnsi="Times New Roman" w:eastAsia="SimSun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highlight w:val="none"/>
                <w:vertAlign w:val="baseline"/>
              </w:rPr>
              <w:t>2</w:t>
            </w:r>
          </w:p>
        </w:tc>
        <w:tc>
          <w:tcPr>
            <w:tcW w:w="530" w:type="dxa"/>
          </w:tcPr>
          <w:p w14:paraId="16BAE993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  <w:shd w:val="clear" w:color="auto" w:fill="E7E6E6" w:themeFill="background2"/>
          </w:tcPr>
          <w:p w14:paraId="19BA8BDE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color w:val="BFBFBF" w:themeColor="background1" w:themeShade="BF"/>
                <w:sz w:val="24"/>
                <w:szCs w:val="24"/>
                <w:highlight w:val="lightGray"/>
                <w:vertAlign w:val="baseline"/>
              </w:rPr>
            </w:pPr>
          </w:p>
        </w:tc>
        <w:tc>
          <w:tcPr>
            <w:tcW w:w="530" w:type="dxa"/>
          </w:tcPr>
          <w:p w14:paraId="36414CE3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6DE0DE15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756C8D47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69611AC3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</w:tr>
      <w:tr w14:paraId="06AA4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14:paraId="6967FEFB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14:paraId="2CB19BBB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14:paraId="7FA30C27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14:paraId="545C1D3E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14:paraId="5854140A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FDAE79">
            <w:pPr>
              <w:pStyle w:val="7"/>
              <w:spacing w:line="360" w:lineRule="auto"/>
              <w:ind w:firstLine="240" w:firstLineChars="100"/>
              <w:jc w:val="right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  <w:p w14:paraId="47C6BC53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  <w:p w14:paraId="3B1F83AF">
            <w:pPr>
              <w:pStyle w:val="7"/>
              <w:spacing w:line="360" w:lineRule="auto"/>
              <w:jc w:val="right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  <w:t>5</w:t>
            </w:r>
          </w:p>
          <w:p w14:paraId="7D57D0D5">
            <w:pPr>
              <w:pStyle w:val="7"/>
              <w:spacing w:line="360" w:lineRule="auto"/>
              <w:jc w:val="right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  <w:t>6</w:t>
            </w:r>
          </w:p>
          <w:p w14:paraId="0BE230F4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655" w:type="dxa"/>
            <w:vMerge w:val="restart"/>
            <w:tcBorders>
              <w:top w:val="nil"/>
              <w:left w:val="nil"/>
            </w:tcBorders>
          </w:tcPr>
          <w:p w14:paraId="30078EDB">
            <w:pPr>
              <w:pStyle w:val="7"/>
              <w:spacing w:line="360" w:lineRule="auto"/>
              <w:ind w:firstLine="240" w:firstLineChars="100"/>
              <w:jc w:val="right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  <w:t>3</w:t>
            </w:r>
          </w:p>
        </w:tc>
        <w:tc>
          <w:tcPr>
            <w:tcW w:w="574" w:type="dxa"/>
          </w:tcPr>
          <w:p w14:paraId="3733F407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29" w:type="dxa"/>
          </w:tcPr>
          <w:p w14:paraId="321FB13F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5E65E9DE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highlight w:val="lightGray"/>
                <w:vertAlign w:val="baseline"/>
              </w:rPr>
            </w:pPr>
          </w:p>
        </w:tc>
        <w:tc>
          <w:tcPr>
            <w:tcW w:w="530" w:type="dxa"/>
            <w:shd w:val="clear" w:color="auto" w:fill="E7E6E6" w:themeFill="background2"/>
          </w:tcPr>
          <w:p w14:paraId="2EC5B27F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color w:val="BFBFBF" w:themeColor="background1" w:themeShade="BF"/>
                <w:sz w:val="24"/>
                <w:szCs w:val="24"/>
                <w:highlight w:val="lightGray"/>
                <w:vertAlign w:val="baseline"/>
              </w:rPr>
            </w:pPr>
          </w:p>
        </w:tc>
        <w:tc>
          <w:tcPr>
            <w:tcW w:w="530" w:type="dxa"/>
          </w:tcPr>
          <w:p w14:paraId="5B71D224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74EC0248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03F1DDEF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0A663773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5EEBAC9F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3552FE7D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060" w:type="dxa"/>
            <w:gridSpan w:val="2"/>
            <w:tcBorders>
              <w:top w:val="nil"/>
              <w:right w:val="nil"/>
            </w:tcBorders>
          </w:tcPr>
          <w:p w14:paraId="06334178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</w:tr>
      <w:tr w14:paraId="704CC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498" w:type="dxa"/>
            <w:vMerge w:val="restart"/>
            <w:tcBorders>
              <w:top w:val="nil"/>
              <w:left w:val="nil"/>
              <w:right w:val="nil"/>
            </w:tcBorders>
          </w:tcPr>
          <w:p w14:paraId="32C79D6B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vMerge w:val="restart"/>
            <w:tcBorders>
              <w:top w:val="nil"/>
              <w:left w:val="nil"/>
              <w:right w:val="nil"/>
            </w:tcBorders>
          </w:tcPr>
          <w:p w14:paraId="05368BBF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vMerge w:val="restart"/>
            <w:tcBorders>
              <w:top w:val="nil"/>
              <w:left w:val="nil"/>
              <w:right w:val="nil"/>
            </w:tcBorders>
          </w:tcPr>
          <w:p w14:paraId="00718E4E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vMerge w:val="restart"/>
            <w:tcBorders>
              <w:top w:val="nil"/>
              <w:left w:val="nil"/>
              <w:right w:val="nil"/>
            </w:tcBorders>
          </w:tcPr>
          <w:p w14:paraId="32F67233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vMerge w:val="restart"/>
            <w:tcBorders>
              <w:top w:val="nil"/>
              <w:left w:val="nil"/>
              <w:right w:val="nil"/>
            </w:tcBorders>
          </w:tcPr>
          <w:p w14:paraId="695215D9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76" w:type="dxa"/>
            <w:vMerge w:val="continue"/>
            <w:tcBorders>
              <w:top w:val="nil"/>
              <w:left w:val="nil"/>
              <w:right w:val="nil"/>
            </w:tcBorders>
          </w:tcPr>
          <w:p w14:paraId="5B8F4EA6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655" w:type="dxa"/>
            <w:vMerge w:val="continue"/>
            <w:tcBorders>
              <w:left w:val="nil"/>
              <w:right w:val="nil"/>
            </w:tcBorders>
          </w:tcPr>
          <w:p w14:paraId="5BDF7762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33" w:type="dxa"/>
            <w:gridSpan w:val="3"/>
            <w:tcBorders>
              <w:left w:val="nil"/>
            </w:tcBorders>
          </w:tcPr>
          <w:p w14:paraId="07DD0B4C">
            <w:pPr>
              <w:pStyle w:val="7"/>
              <w:spacing w:line="360" w:lineRule="auto"/>
              <w:jc w:val="right"/>
              <w:rPr>
                <w:rFonts w:hint="default" w:ascii="Times New Roman" w:hAnsi="Times New Roman" w:eastAsia="SimSun" w:cs="Times New Roman"/>
                <w:sz w:val="24"/>
                <w:szCs w:val="24"/>
                <w:highlight w:val="lightGray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highlight w:val="none"/>
                <w:vertAlign w:val="baseline"/>
              </w:rPr>
              <w:t>4</w:t>
            </w:r>
          </w:p>
        </w:tc>
        <w:tc>
          <w:tcPr>
            <w:tcW w:w="530" w:type="dxa"/>
            <w:shd w:val="clear" w:color="auto" w:fill="E7E6E6" w:themeFill="background2"/>
          </w:tcPr>
          <w:p w14:paraId="70A1CC29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color w:val="BFBFBF" w:themeColor="background1" w:themeShade="BF"/>
                <w:sz w:val="24"/>
                <w:szCs w:val="24"/>
                <w:highlight w:val="lightGray"/>
                <w:vertAlign w:val="baseline"/>
              </w:rPr>
            </w:pPr>
          </w:p>
        </w:tc>
        <w:tc>
          <w:tcPr>
            <w:tcW w:w="530" w:type="dxa"/>
          </w:tcPr>
          <w:p w14:paraId="6CA8999C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4623E245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5D117AF5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60F825AA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1CCBC797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4164B96B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6B2FD08B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6E3B2E8E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</w:tr>
      <w:tr w14:paraId="58A2C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498" w:type="dxa"/>
            <w:vMerge w:val="continue"/>
            <w:tcBorders>
              <w:left w:val="nil"/>
              <w:right w:val="nil"/>
            </w:tcBorders>
          </w:tcPr>
          <w:p w14:paraId="7A801FE3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vMerge w:val="continue"/>
            <w:tcBorders>
              <w:left w:val="nil"/>
              <w:right w:val="nil"/>
            </w:tcBorders>
          </w:tcPr>
          <w:p w14:paraId="0BA15ED2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vMerge w:val="continue"/>
            <w:tcBorders>
              <w:left w:val="nil"/>
              <w:right w:val="nil"/>
            </w:tcBorders>
          </w:tcPr>
          <w:p w14:paraId="3E68A215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vMerge w:val="continue"/>
            <w:tcBorders>
              <w:left w:val="nil"/>
              <w:right w:val="nil"/>
            </w:tcBorders>
          </w:tcPr>
          <w:p w14:paraId="59F5F034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vMerge w:val="continue"/>
            <w:tcBorders>
              <w:left w:val="nil"/>
              <w:right w:val="nil"/>
            </w:tcBorders>
          </w:tcPr>
          <w:p w14:paraId="64DE7A44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76" w:type="dxa"/>
            <w:vMerge w:val="continue"/>
            <w:tcBorders>
              <w:left w:val="nil"/>
              <w:right w:val="nil"/>
            </w:tcBorders>
          </w:tcPr>
          <w:p w14:paraId="21B6E92B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655" w:type="dxa"/>
          </w:tcPr>
          <w:p w14:paraId="55BAC9A0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74" w:type="dxa"/>
          </w:tcPr>
          <w:p w14:paraId="3A0A6514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29" w:type="dxa"/>
          </w:tcPr>
          <w:p w14:paraId="7EFB7FD4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27149EC3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highlight w:val="lightGray"/>
                <w:vertAlign w:val="baseline"/>
              </w:rPr>
            </w:pPr>
          </w:p>
        </w:tc>
        <w:tc>
          <w:tcPr>
            <w:tcW w:w="530" w:type="dxa"/>
            <w:shd w:val="clear" w:color="auto" w:fill="E7E6E6" w:themeFill="background2"/>
          </w:tcPr>
          <w:p w14:paraId="127DF2BB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color w:val="BFBFBF" w:themeColor="background1" w:themeShade="BF"/>
                <w:sz w:val="24"/>
                <w:szCs w:val="24"/>
                <w:highlight w:val="lightGray"/>
                <w:vertAlign w:val="baseline"/>
              </w:rPr>
            </w:pPr>
          </w:p>
        </w:tc>
        <w:tc>
          <w:tcPr>
            <w:tcW w:w="530" w:type="dxa"/>
          </w:tcPr>
          <w:p w14:paraId="5D610939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5899E5AD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435EA186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78D6FDF3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20" w:type="dxa"/>
            <w:gridSpan w:val="4"/>
            <w:tcBorders>
              <w:bottom w:val="nil"/>
              <w:right w:val="nil"/>
            </w:tcBorders>
          </w:tcPr>
          <w:p w14:paraId="2F6B33BF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</w:tr>
      <w:tr w14:paraId="22FA6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498" w:type="dxa"/>
            <w:vMerge w:val="continue"/>
            <w:tcBorders>
              <w:left w:val="nil"/>
              <w:right w:val="nil"/>
            </w:tcBorders>
          </w:tcPr>
          <w:p w14:paraId="5EBDEDB9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vMerge w:val="continue"/>
            <w:tcBorders>
              <w:left w:val="nil"/>
              <w:right w:val="nil"/>
            </w:tcBorders>
          </w:tcPr>
          <w:p w14:paraId="46103FB5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vMerge w:val="continue"/>
            <w:tcBorders>
              <w:left w:val="nil"/>
              <w:right w:val="nil"/>
            </w:tcBorders>
          </w:tcPr>
          <w:p w14:paraId="580C1078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vMerge w:val="continue"/>
            <w:tcBorders>
              <w:left w:val="nil"/>
              <w:right w:val="nil"/>
            </w:tcBorders>
          </w:tcPr>
          <w:p w14:paraId="2FEFE512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vMerge w:val="continue"/>
            <w:tcBorders>
              <w:left w:val="nil"/>
              <w:right w:val="nil"/>
            </w:tcBorders>
          </w:tcPr>
          <w:p w14:paraId="1649A731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76" w:type="dxa"/>
            <w:vMerge w:val="continue"/>
            <w:tcBorders>
              <w:left w:val="nil"/>
              <w:right w:val="nil"/>
            </w:tcBorders>
          </w:tcPr>
          <w:p w14:paraId="08CFB5F6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655" w:type="dxa"/>
          </w:tcPr>
          <w:p w14:paraId="0152F1CA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74" w:type="dxa"/>
          </w:tcPr>
          <w:p w14:paraId="5D9EE2D3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29" w:type="dxa"/>
          </w:tcPr>
          <w:p w14:paraId="36D4DD85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39B57D84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highlight w:val="lightGray"/>
                <w:vertAlign w:val="baseline"/>
              </w:rPr>
            </w:pPr>
          </w:p>
        </w:tc>
        <w:tc>
          <w:tcPr>
            <w:tcW w:w="530" w:type="dxa"/>
            <w:shd w:val="clear" w:color="auto" w:fill="E7E6E6" w:themeFill="background2"/>
          </w:tcPr>
          <w:p w14:paraId="7A13E1F9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color w:val="BFBFBF" w:themeColor="background1" w:themeShade="BF"/>
                <w:sz w:val="24"/>
                <w:szCs w:val="24"/>
                <w:highlight w:val="lightGray"/>
                <w:vertAlign w:val="baseline"/>
              </w:rPr>
            </w:pPr>
          </w:p>
        </w:tc>
        <w:tc>
          <w:tcPr>
            <w:tcW w:w="530" w:type="dxa"/>
          </w:tcPr>
          <w:p w14:paraId="526FA93F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4E306D86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180" w:type="dxa"/>
            <w:gridSpan w:val="6"/>
            <w:tcBorders>
              <w:top w:val="nil"/>
              <w:bottom w:val="nil"/>
              <w:right w:val="nil"/>
            </w:tcBorders>
          </w:tcPr>
          <w:p w14:paraId="74BA041E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</w:tr>
      <w:tr w14:paraId="4B62E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498" w:type="dxa"/>
            <w:vMerge w:val="continue"/>
            <w:tcBorders>
              <w:left w:val="nil"/>
              <w:right w:val="nil"/>
            </w:tcBorders>
          </w:tcPr>
          <w:p w14:paraId="64E32637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vMerge w:val="continue"/>
            <w:tcBorders>
              <w:left w:val="nil"/>
              <w:right w:val="nil"/>
            </w:tcBorders>
          </w:tcPr>
          <w:p w14:paraId="49E1AA23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vMerge w:val="continue"/>
            <w:tcBorders>
              <w:left w:val="nil"/>
              <w:right w:val="nil"/>
            </w:tcBorders>
          </w:tcPr>
          <w:p w14:paraId="22159BEC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vMerge w:val="continue"/>
            <w:tcBorders>
              <w:left w:val="nil"/>
              <w:right w:val="nil"/>
            </w:tcBorders>
          </w:tcPr>
          <w:p w14:paraId="4A6D52A5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vMerge w:val="continue"/>
            <w:tcBorders>
              <w:left w:val="nil"/>
              <w:right w:val="nil"/>
            </w:tcBorders>
          </w:tcPr>
          <w:p w14:paraId="54533DA7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76" w:type="dxa"/>
            <w:vMerge w:val="continue"/>
            <w:tcBorders>
              <w:left w:val="nil"/>
              <w:right w:val="nil"/>
            </w:tcBorders>
          </w:tcPr>
          <w:p w14:paraId="10D0FDFC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758" w:type="dxa"/>
            <w:gridSpan w:val="3"/>
            <w:tcBorders>
              <w:left w:val="nil"/>
              <w:bottom w:val="nil"/>
            </w:tcBorders>
          </w:tcPr>
          <w:p w14:paraId="452AB8F2">
            <w:pPr>
              <w:pStyle w:val="7"/>
              <w:spacing w:line="360" w:lineRule="auto"/>
              <w:jc w:val="right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  <w:t>7</w:t>
            </w:r>
          </w:p>
        </w:tc>
        <w:tc>
          <w:tcPr>
            <w:tcW w:w="530" w:type="dxa"/>
          </w:tcPr>
          <w:p w14:paraId="69043857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highlight w:val="lightGray"/>
                <w:vertAlign w:val="baseline"/>
              </w:rPr>
            </w:pPr>
          </w:p>
        </w:tc>
        <w:tc>
          <w:tcPr>
            <w:tcW w:w="530" w:type="dxa"/>
            <w:shd w:val="clear" w:color="auto" w:fill="E7E6E6" w:themeFill="background2"/>
          </w:tcPr>
          <w:p w14:paraId="76EA658F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color w:val="BFBFBF" w:themeColor="background1" w:themeShade="BF"/>
                <w:sz w:val="24"/>
                <w:szCs w:val="24"/>
                <w:highlight w:val="lightGray"/>
                <w:vertAlign w:val="baseline"/>
              </w:rPr>
            </w:pPr>
          </w:p>
        </w:tc>
        <w:tc>
          <w:tcPr>
            <w:tcW w:w="530" w:type="dxa"/>
          </w:tcPr>
          <w:p w14:paraId="2C0709F1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56FB24D3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3ABA5262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650" w:type="dxa"/>
            <w:gridSpan w:val="5"/>
            <w:tcBorders>
              <w:top w:val="nil"/>
              <w:bottom w:val="nil"/>
              <w:right w:val="nil"/>
            </w:tcBorders>
          </w:tcPr>
          <w:p w14:paraId="0FD0B7B3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</w:tr>
      <w:tr w14:paraId="50579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498" w:type="dxa"/>
            <w:vMerge w:val="continue"/>
            <w:tcBorders>
              <w:left w:val="nil"/>
              <w:bottom w:val="nil"/>
              <w:right w:val="nil"/>
            </w:tcBorders>
          </w:tcPr>
          <w:p w14:paraId="35561DA0">
            <w:pPr>
              <w:pStyle w:val="7"/>
              <w:spacing w:line="360" w:lineRule="auto"/>
              <w:jc w:val="right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vMerge w:val="continue"/>
            <w:tcBorders>
              <w:left w:val="nil"/>
              <w:bottom w:val="nil"/>
              <w:right w:val="nil"/>
            </w:tcBorders>
          </w:tcPr>
          <w:p w14:paraId="6051DBB8">
            <w:pPr>
              <w:pStyle w:val="7"/>
              <w:spacing w:line="360" w:lineRule="auto"/>
              <w:jc w:val="right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vMerge w:val="continue"/>
            <w:tcBorders>
              <w:left w:val="nil"/>
              <w:bottom w:val="nil"/>
              <w:right w:val="nil"/>
            </w:tcBorders>
          </w:tcPr>
          <w:p w14:paraId="291AF1AE">
            <w:pPr>
              <w:pStyle w:val="7"/>
              <w:spacing w:line="360" w:lineRule="auto"/>
              <w:jc w:val="right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vMerge w:val="continue"/>
            <w:tcBorders>
              <w:left w:val="nil"/>
              <w:bottom w:val="nil"/>
              <w:right w:val="nil"/>
            </w:tcBorders>
          </w:tcPr>
          <w:p w14:paraId="75A98FEF">
            <w:pPr>
              <w:pStyle w:val="7"/>
              <w:spacing w:line="360" w:lineRule="auto"/>
              <w:jc w:val="right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  <w:vMerge w:val="continue"/>
            <w:tcBorders>
              <w:left w:val="nil"/>
              <w:bottom w:val="nil"/>
              <w:right w:val="nil"/>
            </w:tcBorders>
          </w:tcPr>
          <w:p w14:paraId="7CAEEBA4">
            <w:pPr>
              <w:pStyle w:val="7"/>
              <w:spacing w:line="360" w:lineRule="auto"/>
              <w:jc w:val="right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234" w:type="dxa"/>
            <w:gridSpan w:val="4"/>
            <w:tcBorders>
              <w:top w:val="nil"/>
              <w:left w:val="nil"/>
              <w:bottom w:val="nil"/>
            </w:tcBorders>
          </w:tcPr>
          <w:p w14:paraId="26033681">
            <w:pPr>
              <w:pStyle w:val="7"/>
              <w:spacing w:line="360" w:lineRule="auto"/>
              <w:jc w:val="right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  <w:t>8</w:t>
            </w:r>
          </w:p>
        </w:tc>
        <w:tc>
          <w:tcPr>
            <w:tcW w:w="530" w:type="dxa"/>
          </w:tcPr>
          <w:p w14:paraId="3ED4E8D8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highlight w:val="lightGray"/>
                <w:vertAlign w:val="baseline"/>
              </w:rPr>
            </w:pPr>
          </w:p>
        </w:tc>
        <w:tc>
          <w:tcPr>
            <w:tcW w:w="530" w:type="dxa"/>
            <w:shd w:val="clear" w:color="auto" w:fill="E7E6E6" w:themeFill="background2"/>
          </w:tcPr>
          <w:p w14:paraId="3BB7708D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color w:val="BFBFBF" w:themeColor="background1" w:themeShade="BF"/>
                <w:sz w:val="24"/>
                <w:szCs w:val="24"/>
                <w:highlight w:val="lightGray"/>
                <w:vertAlign w:val="baseline"/>
              </w:rPr>
            </w:pPr>
          </w:p>
        </w:tc>
        <w:tc>
          <w:tcPr>
            <w:tcW w:w="530" w:type="dxa"/>
          </w:tcPr>
          <w:p w14:paraId="7788FDB9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1FDAFAA6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4BFC5539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5C0D49B5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72ECBC44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0A23FE30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7BE9B673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  <w:tcBorders>
              <w:top w:val="nil"/>
              <w:right w:val="nil"/>
            </w:tcBorders>
          </w:tcPr>
          <w:p w14:paraId="4C33FDF6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</w:tr>
      <w:tr w14:paraId="39BBE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254" w:type="dxa"/>
            <w:gridSpan w:val="10"/>
            <w:tcBorders>
              <w:top w:val="nil"/>
              <w:left w:val="nil"/>
              <w:bottom w:val="nil"/>
            </w:tcBorders>
          </w:tcPr>
          <w:p w14:paraId="38905511">
            <w:pPr>
              <w:pStyle w:val="7"/>
              <w:spacing w:line="360" w:lineRule="auto"/>
              <w:jc w:val="right"/>
              <w:rPr>
                <w:rFonts w:hint="default" w:ascii="Times New Roman" w:hAnsi="Times New Roman" w:eastAsia="SimSun" w:cs="Times New Roman"/>
                <w:sz w:val="24"/>
                <w:szCs w:val="24"/>
                <w:highlight w:val="lightGray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highlight w:val="none"/>
                <w:vertAlign w:val="baseline"/>
              </w:rPr>
              <w:t>9</w:t>
            </w:r>
          </w:p>
        </w:tc>
        <w:tc>
          <w:tcPr>
            <w:tcW w:w="530" w:type="dxa"/>
            <w:shd w:val="clear" w:color="auto" w:fill="E7E6E6" w:themeFill="background2"/>
          </w:tcPr>
          <w:p w14:paraId="3DD26CAA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color w:val="BFBFBF" w:themeColor="background1" w:themeShade="BF"/>
                <w:sz w:val="24"/>
                <w:szCs w:val="24"/>
                <w:highlight w:val="lightGray"/>
                <w:vertAlign w:val="baseline"/>
              </w:rPr>
            </w:pPr>
          </w:p>
        </w:tc>
        <w:tc>
          <w:tcPr>
            <w:tcW w:w="530" w:type="dxa"/>
          </w:tcPr>
          <w:p w14:paraId="2A464329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685935D2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1A07527E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71CB7AE4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29C28F9E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06B0760C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61B05771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2F464181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</w:tr>
      <w:tr w14:paraId="5F2D6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498" w:type="dxa"/>
            <w:vMerge w:val="restart"/>
            <w:tcBorders>
              <w:top w:val="nil"/>
              <w:left w:val="nil"/>
            </w:tcBorders>
          </w:tcPr>
          <w:p w14:paraId="52B7BD68">
            <w:pPr>
              <w:pStyle w:val="7"/>
              <w:spacing w:line="360" w:lineRule="auto"/>
              <w:jc w:val="right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  <w:t>10</w:t>
            </w:r>
          </w:p>
          <w:p w14:paraId="4867465F">
            <w:pPr>
              <w:pStyle w:val="7"/>
              <w:spacing w:line="360" w:lineRule="auto"/>
              <w:jc w:val="right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  <w:p w14:paraId="55829E2A">
            <w:pPr>
              <w:pStyle w:val="7"/>
              <w:spacing w:line="360" w:lineRule="auto"/>
              <w:jc w:val="right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  <w:t>12</w:t>
            </w:r>
          </w:p>
        </w:tc>
        <w:tc>
          <w:tcPr>
            <w:tcW w:w="498" w:type="dxa"/>
          </w:tcPr>
          <w:p w14:paraId="1C950343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</w:tcPr>
          <w:p w14:paraId="7C8964EB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</w:tcPr>
          <w:p w14:paraId="66C18D21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</w:tcPr>
          <w:p w14:paraId="3BEAD802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76" w:type="dxa"/>
          </w:tcPr>
          <w:p w14:paraId="29D49C0E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655" w:type="dxa"/>
          </w:tcPr>
          <w:p w14:paraId="553C8B9C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74" w:type="dxa"/>
          </w:tcPr>
          <w:p w14:paraId="37347A88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29" w:type="dxa"/>
          </w:tcPr>
          <w:p w14:paraId="3D5F778C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30A6321D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highlight w:val="lightGray"/>
                <w:vertAlign w:val="baseline"/>
              </w:rPr>
            </w:pPr>
          </w:p>
        </w:tc>
        <w:tc>
          <w:tcPr>
            <w:tcW w:w="530" w:type="dxa"/>
            <w:shd w:val="clear" w:color="auto" w:fill="E7E6E6" w:themeFill="background2"/>
          </w:tcPr>
          <w:p w14:paraId="59C625F5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color w:val="BFBFBF" w:themeColor="background1" w:themeShade="BF"/>
                <w:sz w:val="24"/>
                <w:szCs w:val="24"/>
                <w:highlight w:val="lightGray"/>
                <w:vertAlign w:val="baseline"/>
              </w:rPr>
            </w:pPr>
          </w:p>
        </w:tc>
        <w:tc>
          <w:tcPr>
            <w:tcW w:w="530" w:type="dxa"/>
          </w:tcPr>
          <w:p w14:paraId="5C486DD3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48CD3CD0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39794120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650" w:type="dxa"/>
            <w:gridSpan w:val="5"/>
            <w:tcBorders>
              <w:bottom w:val="nil"/>
              <w:right w:val="nil"/>
            </w:tcBorders>
          </w:tcPr>
          <w:p w14:paraId="1D47D6CB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</w:tr>
      <w:tr w14:paraId="472FD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498" w:type="dxa"/>
            <w:vMerge w:val="continue"/>
            <w:tcBorders>
              <w:left w:val="nil"/>
            </w:tcBorders>
          </w:tcPr>
          <w:p w14:paraId="66ECED35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94" w:type="dxa"/>
            <w:gridSpan w:val="3"/>
            <w:tcBorders>
              <w:left w:val="nil"/>
            </w:tcBorders>
          </w:tcPr>
          <w:p w14:paraId="382D33A5">
            <w:pPr>
              <w:pStyle w:val="7"/>
              <w:spacing w:line="360" w:lineRule="auto"/>
              <w:jc w:val="right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  <w:t>11</w:t>
            </w:r>
          </w:p>
        </w:tc>
        <w:tc>
          <w:tcPr>
            <w:tcW w:w="498" w:type="dxa"/>
          </w:tcPr>
          <w:p w14:paraId="25563163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76" w:type="dxa"/>
          </w:tcPr>
          <w:p w14:paraId="48F51102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655" w:type="dxa"/>
          </w:tcPr>
          <w:p w14:paraId="746BFB01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74" w:type="dxa"/>
          </w:tcPr>
          <w:p w14:paraId="2E8D3D55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29" w:type="dxa"/>
          </w:tcPr>
          <w:p w14:paraId="0779712F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0E5A3CDE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highlight w:val="lightGray"/>
                <w:vertAlign w:val="baseline"/>
              </w:rPr>
            </w:pPr>
          </w:p>
        </w:tc>
        <w:tc>
          <w:tcPr>
            <w:tcW w:w="530" w:type="dxa"/>
            <w:shd w:val="clear" w:color="auto" w:fill="E7E6E6" w:themeFill="background2"/>
          </w:tcPr>
          <w:p w14:paraId="7284A779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color w:val="BFBFBF" w:themeColor="background1" w:themeShade="BF"/>
                <w:sz w:val="24"/>
                <w:szCs w:val="24"/>
                <w:highlight w:val="lightGray"/>
                <w:vertAlign w:val="baseline"/>
              </w:rPr>
            </w:pPr>
          </w:p>
        </w:tc>
        <w:tc>
          <w:tcPr>
            <w:tcW w:w="530" w:type="dxa"/>
          </w:tcPr>
          <w:p w14:paraId="3E894FC1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710" w:type="dxa"/>
            <w:gridSpan w:val="7"/>
            <w:tcBorders>
              <w:top w:val="nil"/>
              <w:bottom w:val="nil"/>
              <w:right w:val="nil"/>
            </w:tcBorders>
          </w:tcPr>
          <w:p w14:paraId="4173BE80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</w:tr>
      <w:tr w14:paraId="186FB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498" w:type="dxa"/>
            <w:vMerge w:val="continue"/>
            <w:tcBorders>
              <w:left w:val="nil"/>
            </w:tcBorders>
          </w:tcPr>
          <w:p w14:paraId="120064AF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</w:tcPr>
          <w:p w14:paraId="635E3D73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</w:tcPr>
          <w:p w14:paraId="4EFA1045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</w:tcPr>
          <w:p w14:paraId="16CF00BA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98" w:type="dxa"/>
          </w:tcPr>
          <w:p w14:paraId="6BD59CEE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76" w:type="dxa"/>
          </w:tcPr>
          <w:p w14:paraId="48BA6F50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655" w:type="dxa"/>
          </w:tcPr>
          <w:p w14:paraId="5B0EBC4B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74" w:type="dxa"/>
          </w:tcPr>
          <w:p w14:paraId="30D229EB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29" w:type="dxa"/>
          </w:tcPr>
          <w:p w14:paraId="39E641E9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6CC64D4D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highlight w:val="lightGray"/>
                <w:vertAlign w:val="baseline"/>
              </w:rPr>
            </w:pPr>
          </w:p>
        </w:tc>
        <w:tc>
          <w:tcPr>
            <w:tcW w:w="530" w:type="dxa"/>
            <w:shd w:val="clear" w:color="auto" w:fill="E7E6E6" w:themeFill="background2"/>
          </w:tcPr>
          <w:p w14:paraId="55E364AF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color w:val="BFBFBF" w:themeColor="background1" w:themeShade="BF"/>
                <w:sz w:val="24"/>
                <w:szCs w:val="24"/>
                <w:highlight w:val="lightGray"/>
                <w:vertAlign w:val="baseline"/>
              </w:rPr>
            </w:pPr>
          </w:p>
        </w:tc>
        <w:tc>
          <w:tcPr>
            <w:tcW w:w="4240" w:type="dxa"/>
            <w:gridSpan w:val="8"/>
            <w:tcBorders>
              <w:top w:val="nil"/>
              <w:bottom w:val="nil"/>
              <w:right w:val="nil"/>
            </w:tcBorders>
          </w:tcPr>
          <w:p w14:paraId="2A95AADD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</w:tr>
      <w:tr w14:paraId="5F3AC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724" w:type="dxa"/>
            <w:gridSpan w:val="9"/>
            <w:tcBorders>
              <w:top w:val="nil"/>
              <w:left w:val="nil"/>
              <w:bottom w:val="nil"/>
            </w:tcBorders>
          </w:tcPr>
          <w:p w14:paraId="397CF875">
            <w:pPr>
              <w:pStyle w:val="7"/>
              <w:spacing w:line="360" w:lineRule="auto"/>
              <w:jc w:val="right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  <w:t>13</w:t>
            </w:r>
          </w:p>
        </w:tc>
        <w:tc>
          <w:tcPr>
            <w:tcW w:w="530" w:type="dxa"/>
          </w:tcPr>
          <w:p w14:paraId="28B1C704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highlight w:val="lightGray"/>
                <w:vertAlign w:val="baseline"/>
              </w:rPr>
            </w:pPr>
          </w:p>
        </w:tc>
        <w:tc>
          <w:tcPr>
            <w:tcW w:w="530" w:type="dxa"/>
            <w:shd w:val="clear" w:color="auto" w:fill="E7E6E6" w:themeFill="background2"/>
          </w:tcPr>
          <w:p w14:paraId="18E49DBE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color w:val="BFBFBF" w:themeColor="background1" w:themeShade="BF"/>
                <w:sz w:val="24"/>
                <w:szCs w:val="24"/>
                <w:highlight w:val="lightGray"/>
                <w:vertAlign w:val="baseline"/>
              </w:rPr>
            </w:pPr>
          </w:p>
        </w:tc>
        <w:tc>
          <w:tcPr>
            <w:tcW w:w="530" w:type="dxa"/>
          </w:tcPr>
          <w:p w14:paraId="36FBA159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679898D3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0AB173D0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10C3496E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0467562F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30" w:type="dxa"/>
          </w:tcPr>
          <w:p w14:paraId="3AB8B6D6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060" w:type="dxa"/>
            <w:gridSpan w:val="2"/>
            <w:tcBorders>
              <w:top w:val="nil"/>
              <w:bottom w:val="nil"/>
              <w:right w:val="nil"/>
            </w:tcBorders>
          </w:tcPr>
          <w:p w14:paraId="37ECE680">
            <w:pPr>
              <w:pStyle w:val="7"/>
              <w:spacing w:line="36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vertAlign w:val="baseline"/>
              </w:rPr>
            </w:pPr>
          </w:p>
        </w:tc>
      </w:tr>
    </w:tbl>
    <w:p w14:paraId="5360FFD1">
      <w:pPr>
        <w:pStyle w:val="7"/>
        <w:spacing w:line="360" w:lineRule="auto"/>
        <w:ind w:left="108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 w14:paraId="1E08A6F7">
      <w:pPr>
        <w:pStyle w:val="7"/>
        <w:spacing w:line="360" w:lineRule="auto"/>
        <w:ind w:left="108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 w14:paraId="05E00E99">
      <w:pPr>
        <w:pStyle w:val="7"/>
        <w:spacing w:line="360" w:lineRule="auto"/>
        <w:ind w:left="108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 w14:paraId="5268DD86">
      <w:pPr>
        <w:pStyle w:val="7"/>
        <w:spacing w:line="360" w:lineRule="auto"/>
        <w:ind w:left="108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 w14:paraId="05E7E4AA">
      <w:pPr>
        <w:pStyle w:val="7"/>
        <w:spacing w:line="360" w:lineRule="auto"/>
        <w:ind w:left="108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 w14:paraId="0802336F">
      <w:pPr>
        <w:pStyle w:val="7"/>
        <w:spacing w:line="360" w:lineRule="auto"/>
        <w:ind w:left="108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 w14:paraId="10187665">
      <w:pPr>
        <w:pStyle w:val="7"/>
        <w:spacing w:line="360" w:lineRule="auto"/>
        <w:ind w:left="108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 w14:paraId="3CFCD3A5">
      <w:pPr>
        <w:pStyle w:val="7"/>
        <w:spacing w:line="360" w:lineRule="auto"/>
        <w:ind w:left="108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 w14:paraId="07172B97">
      <w:pPr>
        <w:pStyle w:val="7"/>
        <w:spacing w:line="360" w:lineRule="auto"/>
        <w:ind w:left="108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 w14:paraId="102D2B5F">
      <w:pPr>
        <w:pStyle w:val="7"/>
        <w:spacing w:line="360" w:lineRule="auto"/>
        <w:ind w:left="108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 w14:paraId="57F95D3B">
      <w:pPr>
        <w:pStyle w:val="7"/>
        <w:spacing w:line="360" w:lineRule="auto"/>
        <w:ind w:left="108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 w14:paraId="4B86DF7A">
      <w:pPr>
        <w:pStyle w:val="7"/>
        <w:spacing w:line="360" w:lineRule="auto"/>
        <w:ind w:left="108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 w14:paraId="5889653C">
      <w:pPr>
        <w:pStyle w:val="7"/>
        <w:spacing w:line="360" w:lineRule="auto"/>
        <w:ind w:left="108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 w14:paraId="13C0E250">
      <w:pPr>
        <w:pStyle w:val="7"/>
        <w:spacing w:line="360" w:lineRule="auto"/>
        <w:ind w:left="108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 w14:paraId="2DD68A4B">
      <w:pPr>
        <w:pStyle w:val="7"/>
        <w:spacing w:line="360" w:lineRule="auto"/>
        <w:ind w:left="108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 w14:paraId="49D331AE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line="276" w:lineRule="auto"/>
        <w:ind w:left="840" w:leftChars="100" w:hanging="600" w:hangingChars="25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Activitate ale cărei rezultate nu pot fi anticipate cu certitudine…..</w:t>
      </w:r>
    </w:p>
    <w:p w14:paraId="1AC5DD21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line="276" w:lineRule="auto"/>
        <w:ind w:left="840" w:leftChars="100" w:hanging="600" w:hangingChars="25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Fiecare repetare a unui eveniment se numește.... </w:t>
      </w:r>
    </w:p>
    <w:p w14:paraId="2A0667AD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line="276" w:lineRule="auto"/>
        <w:ind w:left="840" w:leftChars="100" w:hanging="600" w:hangingChars="25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Mulțimea rezultatelor experienței care realizează un eveniment se numește mulțimea cazurilor.... </w:t>
      </w:r>
    </w:p>
    <w:p w14:paraId="484DCA1C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line="276" w:lineRule="auto"/>
        <w:ind w:left="840" w:leftChars="100" w:hanging="600" w:hangingChars="25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Schema binomiala sau schema lui .…</w:t>
      </w:r>
    </w:p>
    <w:p w14:paraId="4DFB32AA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line="276" w:lineRule="auto"/>
        <w:ind w:left="840" w:leftChars="100" w:hanging="600" w:hangingChars="25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Evenimentele elementare se numesc.....probabile dacă  au aceeași sansă de realizare într-o probă. </w:t>
      </w:r>
    </w:p>
    <w:p w14:paraId="789BAD5D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line="276" w:lineRule="auto"/>
        <w:ind w:left="840" w:leftChars="100" w:hanging="600" w:hangingChars="25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Eveniment imposibil sau... </w:t>
      </w:r>
    </w:p>
    <w:p w14:paraId="320F4609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line="276" w:lineRule="auto"/>
        <w:ind w:left="840" w:leftChars="100" w:hanging="600" w:hangingChars="25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Evenimentul care se realizează cu certitudine este evenimentul... </w:t>
      </w:r>
    </w:p>
    <w:p w14:paraId="147C99C1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line="276" w:lineRule="auto"/>
        <w:ind w:left="840" w:leftChars="100" w:hanging="600" w:hangingChars="25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Evenimentul care are un singur caz favorabil se numește.... </w:t>
      </w:r>
    </w:p>
    <w:p w14:paraId="15BB4475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line="276" w:lineRule="auto"/>
        <w:ind w:left="840" w:leftChars="100" w:hanging="600" w:hangingChars="25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Evenimentul care nu se realizează în nici o probă se numește eveniment .…</w:t>
      </w:r>
    </w:p>
    <w:p w14:paraId="5919B7C0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line="276" w:lineRule="auto"/>
        <w:ind w:left="840" w:leftChars="100" w:hanging="600" w:hangingChars="25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Mulțimea tuturor rezultatelor posibile ale unei experiențe se numește domeniul de .…</w:t>
      </w:r>
    </w:p>
    <w:p w14:paraId="1F8847E1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line="276" w:lineRule="auto"/>
        <w:ind w:left="840" w:leftChars="100" w:hanging="600" w:hangingChars="25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Notația A reprezintă evenimentul…. </w:t>
      </w:r>
    </w:p>
    <w:p w14:paraId="1BCE10BE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line="276" w:lineRule="auto"/>
        <w:ind w:left="840" w:leftChars="100" w:hanging="600" w:hangingChars="25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Situație sau.... </w:t>
      </w:r>
    </w:p>
    <w:p w14:paraId="37E2C2AE">
      <w:pPr>
        <w:pStyle w:val="7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line="276" w:lineRule="auto"/>
        <w:ind w:left="840" w:leftChars="100" w:hanging="600" w:hangingChars="25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Se realizează dacă se realizează cel puțin unul din evenimentele date se numește.…</w:t>
      </w:r>
    </w:p>
    <w:p w14:paraId="02ECEE46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76" w:lineRule="auto"/>
        <w:ind w:leftChars="-15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(experiență, probă, favorabile, Bernoulli, probabile, posibil, sigur, elementar, imposibil, posibilități, contrar, eveniment, reuniune)</w:t>
      </w:r>
    </w:p>
    <w:p w14:paraId="24AF8B15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276" w:lineRule="auto"/>
        <w:jc w:val="both"/>
        <w:textAlignment w:val="auto"/>
        <w:rPr>
          <w:sz w:val="28"/>
          <w:szCs w:val="28"/>
        </w:rPr>
      </w:pPr>
    </w:p>
    <w:sectPr>
      <w:pgSz w:w="15840" w:h="12240" w:orient="landscape"/>
      <w:pgMar w:top="1440" w:right="1803" w:bottom="1440" w:left="1803" w:header="720" w:footer="720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NewRomanPS-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T Extra">
    <w:panose1 w:val="05050102010205020202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706855"/>
    <w:multiLevelType w:val="singleLevel"/>
    <w:tmpl w:val="EB706855"/>
    <w:lvl w:ilvl="0" w:tentative="0">
      <w:start w:val="15"/>
      <w:numFmt w:val="upperLetter"/>
      <w:suff w:val="space"/>
      <w:lvlText w:val="%1."/>
      <w:lvlJc w:val="left"/>
    </w:lvl>
  </w:abstractNum>
  <w:abstractNum w:abstractNumId="1">
    <w:nsid w:val="0DDF438C"/>
    <w:multiLevelType w:val="multilevel"/>
    <w:tmpl w:val="0DDF438C"/>
    <w:lvl w:ilvl="0" w:tentative="0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>
    <w:nsid w:val="2A3F0249"/>
    <w:multiLevelType w:val="singleLevel"/>
    <w:tmpl w:val="2A3F0249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3CD169AF"/>
    <w:multiLevelType w:val="multilevel"/>
    <w:tmpl w:val="3CD169A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77A"/>
    <w:rsid w:val="000D24E9"/>
    <w:rsid w:val="000F0CB0"/>
    <w:rsid w:val="000F4BA8"/>
    <w:rsid w:val="001D1046"/>
    <w:rsid w:val="00247B4E"/>
    <w:rsid w:val="002E294A"/>
    <w:rsid w:val="00432D74"/>
    <w:rsid w:val="00591E7F"/>
    <w:rsid w:val="005D77D9"/>
    <w:rsid w:val="005F2201"/>
    <w:rsid w:val="00674707"/>
    <w:rsid w:val="006A472C"/>
    <w:rsid w:val="00767ECB"/>
    <w:rsid w:val="007C0230"/>
    <w:rsid w:val="008D3CFB"/>
    <w:rsid w:val="008D677A"/>
    <w:rsid w:val="009733BB"/>
    <w:rsid w:val="009A0EAE"/>
    <w:rsid w:val="00A82E9A"/>
    <w:rsid w:val="00B141CD"/>
    <w:rsid w:val="00B177E6"/>
    <w:rsid w:val="00B87DF2"/>
    <w:rsid w:val="00C50D31"/>
    <w:rsid w:val="00CA4CB4"/>
    <w:rsid w:val="00D55189"/>
    <w:rsid w:val="00E11C18"/>
    <w:rsid w:val="00E20F5B"/>
    <w:rsid w:val="00F13782"/>
    <w:rsid w:val="00F3109D"/>
    <w:rsid w:val="00FA6FF5"/>
    <w:rsid w:val="00FC0834"/>
    <w:rsid w:val="00FF677C"/>
    <w:rsid w:val="04273C0F"/>
    <w:rsid w:val="04DF14B0"/>
    <w:rsid w:val="200156A5"/>
    <w:rsid w:val="25C977A6"/>
    <w:rsid w:val="275830B7"/>
    <w:rsid w:val="3C293438"/>
    <w:rsid w:val="4B777B93"/>
    <w:rsid w:val="55DD3ED6"/>
    <w:rsid w:val="595079B6"/>
    <w:rsid w:val="67EF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/>
      <w:u w:val="single"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customStyle="1" w:styleId="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en-US" w:eastAsia="en-US" w:bidi="ar-SA"/>
    </w:rPr>
  </w:style>
  <w:style w:type="paragraph" w:customStyle="1" w:styleId="9">
    <w:name w:val="No Spacing1"/>
    <w:basedOn w:val="1"/>
    <w:qFormat/>
    <w:uiPriority w:val="0"/>
    <w:pPr>
      <w:spacing w:before="100" w:beforeAutospacing="1" w:after="100" w:afterAutospacing="1"/>
    </w:pPr>
    <w:rPr>
      <w:rFonts w:ascii="Calibri" w:hAnsi="Calibri"/>
      <w:lang w:val="zh-CN" w:eastAsia="zh-CN"/>
    </w:rPr>
  </w:style>
  <w:style w:type="paragraph" w:customStyle="1" w:styleId="10">
    <w:name w:val="Normal1"/>
    <w:qFormat/>
    <w:uiPriority w:val="0"/>
    <w:pPr>
      <w:spacing w:before="100" w:beforeAutospacing="1" w:after="100" w:afterAutospacing="1" w:line="256" w:lineRule="auto"/>
    </w:pPr>
    <w:rPr>
      <w:rFonts w:ascii="Calibri" w:hAnsi="Calibri" w:eastAsia="Times New Roman" w:cs="Times New Roman"/>
      <w:sz w:val="24"/>
      <w:szCs w:val="24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oleObject" Target="embeddings/oleObject2.bin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5.png"/><Relationship Id="rId13" Type="http://schemas.openxmlformats.org/officeDocument/2006/relationships/image" Target="media/image4.wmf"/><Relationship Id="rId12" Type="http://schemas.openxmlformats.org/officeDocument/2006/relationships/oleObject" Target="embeddings/oleObject4.bin"/><Relationship Id="rId11" Type="http://schemas.openxmlformats.org/officeDocument/2006/relationships/image" Target="media/image3.w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942</Words>
  <Characters>5375</Characters>
  <Lines>44</Lines>
  <Paragraphs>12</Paragraphs>
  <TotalTime>1</TotalTime>
  <ScaleCrop>false</ScaleCrop>
  <LinksUpToDate>false</LinksUpToDate>
  <CharactersWithSpaces>6305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2024-05-17T08:02:00Z</dcterms:created>
  <dc:creator>Valentina Ceapa</dc:creator>
  <cp:lastModifiedBy>Liliana Gojan</cp:lastModifiedBy>
  <cp:lastPrinted>2024-04-30T09:35:00Z</cp:lastPrinted>
  <dcterms:modified xsi:type="dcterms:W3CDTF">2024-10-25T08:29:50Z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911FD475380248FEBE3D6DAB344CFB67_12</vt:lpwstr>
  </property>
</Properties>
</file>