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240.0" w:type="dxa"/>
        <w:jc w:val="left"/>
        <w:tblInd w:w="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95"/>
        <w:gridCol w:w="1225"/>
        <w:gridCol w:w="186"/>
        <w:gridCol w:w="9598"/>
        <w:gridCol w:w="610"/>
        <w:gridCol w:w="2326"/>
        <w:tblGridChange w:id="0">
          <w:tblGrid>
            <w:gridCol w:w="1295"/>
            <w:gridCol w:w="1225"/>
            <w:gridCol w:w="186"/>
            <w:gridCol w:w="9598"/>
            <w:gridCol w:w="610"/>
            <w:gridCol w:w="2326"/>
          </w:tblGrid>
        </w:tblGridChange>
      </w:tblGrid>
      <w:tr>
        <w:trPr>
          <w:cantSplit w:val="0"/>
          <w:trHeight w:val="132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spacing w:line="36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PROIECT DIDACTIC Nr. 56</w:t>
            </w:r>
          </w:p>
          <w:p w:rsidR="00000000" w:rsidDel="00000000" w:rsidP="00000000" w:rsidRDefault="00000000" w:rsidRPr="00000000" w14:paraId="00000003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Timp disponibil 45 min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Unitatea de învățare nr. IV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NEMETALELE ȘI COMPUȘII LOR CU IMPORTANȚĂ PRACTICĂ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Subiectul lecției nr. 5/3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Chimia și tehnologiile moderne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Tipul lecției                          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Lecție mixtă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Competențe specifice –  </w:t>
            </w:r>
          </w:p>
          <w:p w:rsidR="00000000" w:rsidDel="00000000" w:rsidP="00000000" w:rsidRDefault="00000000" w:rsidRPr="00000000" w14:paraId="00000022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Unități de competență              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CS5-5.1. Argumentarea utilizării substanțelor anorganice în diferite domenii ale activității umane.</w:t>
            </w:r>
          </w:p>
          <w:p w:rsidR="00000000" w:rsidDel="00000000" w:rsidP="00000000" w:rsidRDefault="00000000" w:rsidRPr="00000000" w14:paraId="0000002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CS2-5.3. Formularea concluziilor personale referitoare la beneficiile/dunele utilizării substanțelor anorganice și la importanța studierii acestor substanțe.</w:t>
            </w:r>
          </w:p>
        </w:tc>
      </w:tr>
      <w:tr>
        <w:trPr>
          <w:cantSplit w:val="0"/>
          <w:trHeight w:val="1772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Obiective operaționale: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La sfârșitul activității elevul va fi capabil/ va putea: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06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Să descrie contribuția produselor industriei chimice în existența și dezvoltarea celor mai moderne tehnologii.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06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Să utilizeze tehnologiile moderne și cunoștințele de chimie, pentru identificarea elementelor conținute într-un telefon mobil.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106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Să  formuleze obiective, argumente, raționamente și concluzii privind relația dintre chimie și tehnologiile moderne.</w:t>
            </w:r>
          </w:p>
        </w:tc>
      </w:tr>
      <w:tr>
        <w:trPr>
          <w:cantSplit w:val="0"/>
          <w:trHeight w:val="1772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Bibliografie: </w:t>
            </w:r>
          </w:p>
          <w:p w:rsidR="00000000" w:rsidDel="00000000" w:rsidP="00000000" w:rsidRDefault="00000000" w:rsidRPr="00000000" w14:paraId="0000003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 Curriculum național. Chimie pentru clasele VII – IX, aprobat prin ordinul Ministerului Educației, Culturii și Cercetării nr. 906 din 17.07.2019;</w:t>
            </w:r>
          </w:p>
          <w:p w:rsidR="00000000" w:rsidDel="00000000" w:rsidP="00000000" w:rsidRDefault="00000000" w:rsidRPr="00000000" w14:paraId="0000003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 Ghid de implementare a curriculumului la disciplina Chimie în clasele VII - IX. Chișinău, ediția 2019;</w:t>
            </w:r>
          </w:p>
          <w:p w:rsidR="00000000" w:rsidDel="00000000" w:rsidP="00000000" w:rsidRDefault="00000000" w:rsidRPr="00000000" w14:paraId="0000003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 Chimie, manual pentru cl. a IX-a. Chișinău: ARC, 2023. Dragalina G., Velișco N.;</w:t>
            </w:r>
          </w:p>
          <w:p w:rsidR="00000000" w:rsidDel="00000000" w:rsidP="00000000" w:rsidRDefault="00000000" w:rsidRPr="00000000" w14:paraId="0000003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 Repere metodologice privind organizarea procesului educațional la disciplina Chimie în anul de studii 2023 – 2024</w:t>
            </w:r>
          </w:p>
          <w:p w:rsidR="00000000" w:rsidDel="00000000" w:rsidP="00000000" w:rsidRDefault="00000000" w:rsidRPr="00000000" w14:paraId="0000003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5. Model de proiect didactic de lungă durată la disciplina Chimie, clasa a 9-a, anul de studii 2023 – 2024. Chiosa Z., Dîru M., Tachi N., Litvinova 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Etape ale activității didactice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Obiective operaționale</w:t>
            </w:r>
          </w:p>
        </w:tc>
        <w:tc>
          <w:tcPr>
            <w:gridSpan w:val="2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line="276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Demers acțional</w:t>
            </w:r>
          </w:p>
          <w:p w:rsidR="00000000" w:rsidDel="00000000" w:rsidP="00000000" w:rsidRDefault="00000000" w:rsidRPr="00000000" w14:paraId="00000040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ab/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Timp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line="276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Tehnologia realizării (Metodă/Formă de organizare/Resurse</w:t>
            </w:r>
          </w:p>
        </w:tc>
      </w:tr>
      <w:tr>
        <w:trPr>
          <w:cantSplit w:val="0"/>
          <w:trHeight w:val="440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Evocare 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Întrebare de evocare: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8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V-ați întrebat vreodată de unde provine telefonul mobil și din ce materiale este fabricat?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demonstrează videoclipul nr. 1 „De unde vine telefonul tău?”</w:t>
            </w:r>
          </w:p>
          <w:p w:rsidR="00000000" w:rsidDel="00000000" w:rsidP="00000000" w:rsidRDefault="00000000" w:rsidRPr="00000000" w14:paraId="0000004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anunță subiectul și obiectivele lecției, se clarifică momentele organizatorice și tema de acasă.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6'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Videoclipul nr. 1:</w:t>
            </w:r>
          </w:p>
          <w:p w:rsidR="00000000" w:rsidDel="00000000" w:rsidP="00000000" w:rsidRDefault="00000000" w:rsidRPr="00000000" w14:paraId="0000004E">
            <w:pPr>
              <w:spacing w:line="360" w:lineRule="auto"/>
              <w:rPr>
                <w:sz w:val="16"/>
                <w:szCs w:val="16"/>
              </w:rPr>
            </w:pPr>
            <w:hyperlink r:id="rId7">
              <w:r w:rsidDel="00000000" w:rsidR="00000000" w:rsidRPr="00000000">
                <w:rPr>
                  <w:color w:val="0563c1"/>
                  <w:sz w:val="16"/>
                  <w:szCs w:val="16"/>
                  <w:u w:val="single"/>
                  <w:rtl w:val="0"/>
                </w:rPr>
                <w:t xml:space="preserve">https://youtu.be/cKvGzS8LYbY?si=SDPwNgDmQ9nws7Mk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F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Realizarea sensului</w:t>
            </w:r>
          </w:p>
          <w:p w:rsidR="00000000" w:rsidDel="00000000" w:rsidP="00000000" w:rsidRDefault="00000000" w:rsidRPr="00000000" w14:paraId="00000050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6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62">
            <w:pPr>
              <w:tabs>
                <w:tab w:val="left" w:leader="none" w:pos="708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tabs>
                <w:tab w:val="left" w:leader="none" w:pos="708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tabs>
                <w:tab w:val="left" w:leader="none" w:pos="708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tabs>
                <w:tab w:val="left" w:leader="none" w:pos="708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tabs>
                <w:tab w:val="left" w:leader="none" w:pos="708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tabs>
                <w:tab w:val="left" w:leader="none" w:pos="708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tabs>
                <w:tab w:val="left" w:leader="none" w:pos="708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tabs>
                <w:tab w:val="left" w:leader="none" w:pos="708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discută întrebările și se analizează schema nr. 1, se formulează concluzii privind impactul chimiei în dezvoltarea tehnologiilor moderne.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Care sunt cele mai noi tehnologii cunoscute actual?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Care sunt principalele inovații din domeniul materialelor, datorate cercetării în chimie, care au revoluționat tehnologiile moderne?</w:t>
            </w:r>
          </w:p>
          <w:p w:rsidR="00000000" w:rsidDel="00000000" w:rsidP="00000000" w:rsidRDefault="00000000" w:rsidRPr="00000000" w14:paraId="0000006D">
            <w:pPr>
              <w:spacing w:after="16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mc:AlternateContent>
                <mc:Choice Requires="wpg">
                  <w:drawing>
                    <wp:inline distB="0" distT="0" distL="0" distR="0">
                      <wp:extent cx="5806440" cy="3329940"/>
                      <wp:effectExtent b="0" l="0" r="0" t="0"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06440" cy="3329940"/>
                                <a:chOff x="0" y="0"/>
                                <a:chExt cx="5812800" cy="3336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0"/>
                                  <a:ext cx="5806440" cy="3329925"/>
                                  <a:chOff x="0" y="0"/>
                                  <a:chExt cx="5806440" cy="33299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806425" cy="3329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0" name="Shape 50"/>
                                <wps:spPr>
                                  <a:xfrm>
                                    <a:off x="0" y="66582"/>
                                    <a:ext cx="5806440" cy="60846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12700">
                                    <a:solidFill>
                                      <a:srgbClr val="787878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51" name="Shape 51"/>
                                <wps:spPr>
                                  <a:xfrm>
                                    <a:off x="0" y="66582"/>
                                    <a:ext cx="5806440" cy="60846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180" w:right="0" w:firstLine="12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Tehnologia care permite calculatoarelor să efectueze activități care necesită de obicei inteligența umană, cum ar fi recunoașterea vocii, învățarea automată și luarea deciziilor.</w:t>
                                      </w:r>
                                    </w:p>
                                  </w:txbxContent>
                                </wps:txbx>
                                <wps:bodyPr anchorCtr="0" anchor="t" bIns="85325" lIns="450625" spcFirstLastPara="1" rIns="450625" wrap="square" tIns="153425">
                                  <a:noAutofit/>
                                </wps:bodyPr>
                              </wps:wsp>
                              <wps:wsp>
                                <wps:cNvSpPr/>
                                <wps:cNvPr id="52" name="Shape 52"/>
                                <wps:spPr>
                                  <a:xfrm>
                                    <a:off x="290322" y="277"/>
                                    <a:ext cx="4064508" cy="132609"/>
                                  </a:xfrm>
                                  <a:prstGeom prst="roundRect">
                                    <a:avLst>
                                      <a:gd fmla="val 16667" name="adj"/>
                                    </a:avLst>
                                  </a:prstGeom>
                                  <a:solidFill>
                                    <a:srgbClr val="787878"/>
                                  </a:solidFill>
                                  <a:ln cap="flat" cmpd="sng" w="12700">
                                    <a:solidFill>
                                      <a:srgbClr val="FFFFFF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53" name="Shape 53"/>
                                <wps:spPr>
                                  <a:xfrm>
                                    <a:off x="296795" y="6750"/>
                                    <a:ext cx="4051562" cy="1196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ffffff"/>
                                          <w:sz w:val="24"/>
                                          <w:vertAlign w:val="baseline"/>
                                        </w:rPr>
                                        <w:t xml:space="preserve">Inteligenta Artificiala (AI)</w:t>
                                      </w:r>
                                    </w:p>
                                  </w:txbxContent>
                                </wps:txbx>
                                <wps:bodyPr anchorCtr="0" anchor="ctr" bIns="0" lIns="153625" spcFirstLastPara="1" rIns="153625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54" name="Shape 54"/>
                                <wps:spPr>
                                  <a:xfrm>
                                    <a:off x="0" y="765611"/>
                                    <a:ext cx="5806440" cy="74997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12700">
                                    <a:solidFill>
                                      <a:srgbClr val="9C9C9C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55" name="Shape 55"/>
                                <wps:spPr>
                                  <a:xfrm>
                                    <a:off x="0" y="765611"/>
                                    <a:ext cx="5806440" cy="7499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180" w:right="0" w:firstLine="12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O tehnologie de stocare și transmitere a informațiilor care este descentralizată și sigură. Este utilizată în criptomonede, dar are aplicații înregistrarea tranzacțiilor financiare, managementul lanțului de aprovizionare și multe altele.</w:t>
                                      </w:r>
                                    </w:p>
                                  </w:txbxContent>
                                </wps:txbx>
                                <wps:bodyPr anchorCtr="0" anchor="t" bIns="85325" lIns="450625" spcFirstLastPara="1" rIns="450625" wrap="square" tIns="153425">
                                  <a:noAutofit/>
                                </wps:bodyPr>
                              </wps:wsp>
                              <wps:wsp>
                                <wps:cNvSpPr/>
                                <wps:cNvPr id="56" name="Shape 56"/>
                                <wps:spPr>
                                  <a:xfrm>
                                    <a:off x="290322" y="699306"/>
                                    <a:ext cx="4064508" cy="132609"/>
                                  </a:xfrm>
                                  <a:prstGeom prst="roundRect">
                                    <a:avLst>
                                      <a:gd fmla="val 16667" name="adj"/>
                                    </a:avLst>
                                  </a:prstGeom>
                                  <a:solidFill>
                                    <a:srgbClr val="9C9C9C"/>
                                  </a:solidFill>
                                  <a:ln cap="flat" cmpd="sng" w="12700">
                                    <a:solidFill>
                                      <a:srgbClr val="FFFFFF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57" name="Shape 57"/>
                                <wps:spPr>
                                  <a:xfrm>
                                    <a:off x="296795" y="705779"/>
                                    <a:ext cx="4051562" cy="1196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ffffff"/>
                                          <w:sz w:val="24"/>
                                          <w:vertAlign w:val="baseline"/>
                                        </w:rPr>
                                        <w:t xml:space="preserve">Tehnologiile blockchain</w:t>
                                      </w:r>
                                    </w:p>
                                  </w:txbxContent>
                                </wps:txbx>
                                <wps:bodyPr anchorCtr="0" anchor="ctr" bIns="0" lIns="153625" spcFirstLastPara="1" rIns="153625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58" name="Shape 58"/>
                                <wps:spPr>
                                  <a:xfrm>
                                    <a:off x="0" y="1606144"/>
                                    <a:ext cx="5806440" cy="46696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12700">
                                    <a:solidFill>
                                      <a:srgbClr val="C1C1C1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59" name="Shape 59"/>
                                <wps:spPr>
                                  <a:xfrm>
                                    <a:off x="0" y="1606144"/>
                                    <a:ext cx="5806440" cy="4669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180" w:right="0" w:firstLine="12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Tehnologii precum panourile solare, turbinele eoliene și bateriile avansate care utilizează surse de energie regenerabilă pentru a produce electricitate.</w:t>
                                      </w:r>
                                    </w:p>
                                  </w:txbxContent>
                                </wps:txbx>
                                <wps:bodyPr anchorCtr="0" anchor="t" bIns="85325" lIns="450625" spcFirstLastPara="1" rIns="450625" wrap="square" tIns="153425">
                                  <a:noAutofit/>
                                </wps:bodyPr>
                              </wps:wsp>
                              <wps:wsp>
                                <wps:cNvSpPr/>
                                <wps:cNvPr id="60" name="Shape 60"/>
                                <wps:spPr>
                                  <a:xfrm>
                                    <a:off x="290322" y="1539840"/>
                                    <a:ext cx="4064508" cy="132609"/>
                                  </a:xfrm>
                                  <a:prstGeom prst="roundRect">
                                    <a:avLst>
                                      <a:gd fmla="val 16667" name="adj"/>
                                    </a:avLst>
                                  </a:prstGeom>
                                  <a:solidFill>
                                    <a:srgbClr val="C1C1C1"/>
                                  </a:solidFill>
                                  <a:ln cap="flat" cmpd="sng" w="12700">
                                    <a:solidFill>
                                      <a:srgbClr val="FFFFFF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61" name="Shape 61"/>
                                <wps:spPr>
                                  <a:xfrm>
                                    <a:off x="296795" y="1546313"/>
                                    <a:ext cx="4051562" cy="1196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ffffff"/>
                                          <w:sz w:val="24"/>
                                          <w:vertAlign w:val="baseline"/>
                                        </w:rPr>
                                        <w:t xml:space="preserve">Energie regenerabilă</w:t>
                                      </w:r>
                                    </w:p>
                                  </w:txbxContent>
                                </wps:txbx>
                                <wps:bodyPr anchorCtr="0" anchor="ctr" bIns="0" lIns="153625" spcFirstLastPara="1" rIns="153625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62" name="Shape 62"/>
                                <wps:spPr>
                                  <a:xfrm>
                                    <a:off x="0" y="2163670"/>
                                    <a:ext cx="5806440" cy="46696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12700">
                                    <a:solidFill>
                                      <a:srgbClr val="C1C1C1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63" name="Shape 63"/>
                                <wps:spPr>
                                  <a:xfrm>
                                    <a:off x="0" y="2163670"/>
                                    <a:ext cx="5806440" cy="4669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180" w:right="0" w:firstLine="12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Dispozitive care pot crea obiecte tridimensionale din materiale precum plastic, metal sau chiar țesuturi umane, revoluționând procesele de fabricație.</w:t>
                                      </w:r>
                                    </w:p>
                                  </w:txbxContent>
                                </wps:txbx>
                                <wps:bodyPr anchorCtr="0" anchor="t" bIns="85325" lIns="450625" spcFirstLastPara="1" rIns="450625" wrap="square" tIns="153425">
                                  <a:noAutofit/>
                                </wps:bodyPr>
                              </wps:wsp>
                              <wps:wsp>
                                <wps:cNvSpPr/>
                                <wps:cNvPr id="64" name="Shape 64"/>
                                <wps:spPr>
                                  <a:xfrm>
                                    <a:off x="290322" y="2097365"/>
                                    <a:ext cx="4064508" cy="132609"/>
                                  </a:xfrm>
                                  <a:prstGeom prst="roundRect">
                                    <a:avLst>
                                      <a:gd fmla="val 16667" name="adj"/>
                                    </a:avLst>
                                  </a:prstGeom>
                                  <a:solidFill>
                                    <a:srgbClr val="C1C1C1"/>
                                  </a:solidFill>
                                  <a:ln cap="flat" cmpd="sng" w="12700">
                                    <a:solidFill>
                                      <a:srgbClr val="FFFFFF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65" name="Shape 65"/>
                                <wps:spPr>
                                  <a:xfrm>
                                    <a:off x="296795" y="2103838"/>
                                    <a:ext cx="4051562" cy="1196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ffffff"/>
                                          <w:sz w:val="24"/>
                                          <w:vertAlign w:val="baseline"/>
                                        </w:rPr>
                                        <w:t xml:space="preserve">Imprimante 3D</w:t>
                                      </w:r>
                                    </w:p>
                                  </w:txbxContent>
                                </wps:txbx>
                                <wps:bodyPr anchorCtr="0" anchor="ctr" bIns="0" lIns="153625" spcFirstLastPara="1" rIns="153625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66" name="Shape 66"/>
                                <wps:spPr>
                                  <a:xfrm>
                                    <a:off x="0" y="2721195"/>
                                    <a:ext cx="5806440" cy="60846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12700">
                                    <a:solidFill>
                                      <a:srgbClr val="9C9C9C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67" name="Shape 67"/>
                                <wps:spPr>
                                  <a:xfrm>
                                    <a:off x="0" y="2721195"/>
                                    <a:ext cx="5806440" cy="60846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180" w:right="0" w:firstLine="12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Utilizarea informațiilor genetice și a altor date individuale pentru a personaliza tratamentele medicale și a îmbunătăți diagnosticul și prognosticul bolilor.</w:t>
                                      </w:r>
                                    </w:p>
                                  </w:txbxContent>
                                </wps:txbx>
                                <wps:bodyPr anchorCtr="0" anchor="t" bIns="85325" lIns="450625" spcFirstLastPara="1" rIns="450625" wrap="square" tIns="153425">
                                  <a:noAutofit/>
                                </wps:bodyPr>
                              </wps:wsp>
                              <wps:wsp>
                                <wps:cNvSpPr/>
                                <wps:cNvPr id="68" name="Shape 68"/>
                                <wps:spPr>
                                  <a:xfrm>
                                    <a:off x="290322" y="2654890"/>
                                    <a:ext cx="4064508" cy="132609"/>
                                  </a:xfrm>
                                  <a:prstGeom prst="roundRect">
                                    <a:avLst>
                                      <a:gd fmla="val 16667" name="adj"/>
                                    </a:avLst>
                                  </a:prstGeom>
                                  <a:solidFill>
                                    <a:srgbClr val="9C9C9C"/>
                                  </a:solidFill>
                                  <a:ln cap="flat" cmpd="sng" w="12700">
                                    <a:solidFill>
                                      <a:srgbClr val="FFFFFF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69" name="Shape 69"/>
                                <wps:spPr>
                                  <a:xfrm>
                                    <a:off x="296795" y="2661363"/>
                                    <a:ext cx="4051562" cy="1196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ffffff"/>
                                          <w:sz w:val="24"/>
                                          <w:vertAlign w:val="baseline"/>
                                        </w:rPr>
                                        <w:t xml:space="preserve">Medicină personalizată</w:t>
                                      </w:r>
                                    </w:p>
                                  </w:txbxContent>
                                </wps:txbx>
                                <wps:bodyPr anchorCtr="0" anchor="ctr" bIns="0" lIns="153625" spcFirstLastPara="1" rIns="153625" wrap="square" tIns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806440" cy="3329940"/>
                      <wp:effectExtent b="0" l="0" r="0" t="0"/>
                      <wp:docPr id="4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806440" cy="33299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8'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Discuție ghidată;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Formularea concluziilor;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Schema nr. 1;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Frontal;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GPP</w:t>
            </w:r>
          </w:p>
          <w:p w:rsidR="00000000" w:rsidDel="00000000" w:rsidP="00000000" w:rsidRDefault="00000000" w:rsidRPr="00000000" w14:paraId="00000075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7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9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discută întrebările date mai jos, se analizează schema nr. 2 și  se formulează concluzii.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Care sunt principalele utilizări ale chimiei în domeniul medical și cum influențează acestea tehnologiile medicale moderne?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Cum ajută cunoștințele de chimie în dezvoltarea soluțiilor pentru protecția mediului și combaterea poluării în era tehnologiilor moderne?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36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5753100" cy="6080760"/>
                      <wp:effectExtent b="0" l="0" r="0" t="0"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53100" cy="6080760"/>
                                <a:chOff x="0" y="0"/>
                                <a:chExt cx="5753100" cy="6080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0"/>
                                  <a:ext cx="5753100" cy="6080750"/>
                                  <a:chOff x="0" y="0"/>
                                  <a:chExt cx="5753100" cy="60807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753100" cy="6080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0" y="742"/>
                                    <a:ext cx="5753100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12700">
                                    <a:solidFill>
                                      <a:srgbClr val="959595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0" y="742"/>
                                    <a:ext cx="1150620" cy="12158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6" name="Shape 6"/>
                                <wps:spPr>
                                  <a:xfrm>
                                    <a:off x="0" y="742"/>
                                    <a:ext cx="1150620" cy="12158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Materiale avansate</w:t>
                                      </w: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:</w:t>
                                      </w:r>
                                    </w:p>
                                  </w:txbxContent>
                                </wps:txbx>
                                <wps:bodyPr anchorCtr="0" anchor="t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36916" y="29001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8" name="Shape 8"/>
                                <wps:spPr>
                                  <a:xfrm>
                                    <a:off x="1236916" y="29001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1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Nanomateriale: </w:t>
                                      </w: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Utilizate în electronice, medicină și energie, nanomaterialele oferă proprietăți unice datorită dimensiunilor lor extrem de mici.</w:t>
                                      </w:r>
                                    </w:p>
                                  </w:txbxContent>
                                </wps:txbx>
                                <wps:bodyPr anchorCtr="0" anchor="t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1150620" y="594184"/>
                                    <a:ext cx="4602480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A5A5A5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36916" y="622443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11" name="Shape 11"/>
                                <wps:spPr>
                                  <a:xfrm>
                                    <a:off x="1236916" y="622443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1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Polimeri și compozite: </w:t>
                                      </w: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Folosiți în diverse aplicații, de la ambalaje la piese auto și aeronave, polimerii și compozitele sunt esențiale pentru durabilitate și performanță.</w:t>
                                      </w:r>
                                    </w:p>
                                  </w:txbxContent>
                                </wps:txbx>
                                <wps:bodyPr anchorCtr="0" anchor="t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1150620" y="1187625"/>
                                    <a:ext cx="4602480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A5A5A5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0" y="1216597"/>
                                    <a:ext cx="5753100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12700">
                                    <a:solidFill>
                                      <a:srgbClr val="959595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0" y="1216597"/>
                                    <a:ext cx="1150620" cy="12158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15" name="Shape 15"/>
                                <wps:spPr>
                                  <a:xfrm>
                                    <a:off x="0" y="1216597"/>
                                    <a:ext cx="1150620" cy="12158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Medicină și biotehnologie</w:t>
                                      </w: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:</w:t>
                                      </w:r>
                                    </w:p>
                                  </w:txbxContent>
                                </wps:txbx>
                                <wps:bodyPr anchorCtr="0" anchor="t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1236916" y="1244856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17" name="Shape 17"/>
                                <wps:spPr>
                                  <a:xfrm>
                                    <a:off x="1236916" y="1244856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1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Medicamente și terapii: </w:t>
                                      </w: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Chimia este esențială în descoperirea și dezvoltarea noilor medicamente, inclusiv terapiile personalizate și biotehnologiile avansate.</w:t>
                                      </w:r>
                                    </w:p>
                                  </w:txbxContent>
                                </wps:txbx>
                                <wps:bodyPr anchorCtr="0" anchor="t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1150620" y="1810039"/>
                                    <a:ext cx="4602480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A5A5A5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9" name="Shape 19"/>
                                <wps:spPr>
                                  <a:xfrm>
                                    <a:off x="1236916" y="1838298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20" name="Shape 20"/>
                                <wps:spPr>
                                  <a:xfrm>
                                    <a:off x="1236916" y="1838298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1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Diagnostic și imagistică: </w:t>
                                      </w: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Substanțele chimice sunt folosite în testele de diagnostic și tehnologiile imagistice, cum ar fi RMN și tomografia computerizată.</w:t>
                                      </w:r>
                                    </w:p>
                                  </w:txbxContent>
                                </wps:txbx>
                                <wps:bodyPr anchorCtr="0" anchor="t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1150620" y="2403480"/>
                                    <a:ext cx="4602480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A5A5A5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0" y="2432452"/>
                                    <a:ext cx="5753100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12700">
                                    <a:solidFill>
                                      <a:srgbClr val="959595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3" name="Shape 23"/>
                                <wps:spPr>
                                  <a:xfrm>
                                    <a:off x="0" y="2432452"/>
                                    <a:ext cx="1150620" cy="12158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24" name="Shape 24"/>
                                <wps:spPr>
                                  <a:xfrm>
                                    <a:off x="0" y="2432452"/>
                                    <a:ext cx="1150620" cy="12158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Energie și mediu</w:t>
                                      </w: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:</w:t>
                                      </w:r>
                                    </w:p>
                                  </w:txbxContent>
                                </wps:txbx>
                                <wps:bodyPr anchorCtr="0" anchor="t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25" name="Shape 25"/>
                                <wps:spPr>
                                  <a:xfrm>
                                    <a:off x="1236916" y="2460711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26" name="Shape 26"/>
                                <wps:spPr>
                                  <a:xfrm>
                                    <a:off x="1236916" y="2460711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1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Baterii și celule de combustie: </w:t>
                                      </w: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Descoperirile în chimie au condus la dezvoltarea bateriilor mai eficiente, cum ar fi bateriile litiu-ion și celulele de combustie pentru vehicule electrice.</w:t>
                                      </w:r>
                                    </w:p>
                                  </w:txbxContent>
                                </wps:txbx>
                                <wps:bodyPr anchorCtr="0" anchor="t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1150620" y="3025894"/>
                                    <a:ext cx="4602480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A5A5A5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8" name="Shape 28"/>
                                <wps:spPr>
                                  <a:xfrm>
                                    <a:off x="1236916" y="3054153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29" name="Shape 29"/>
                                <wps:spPr>
                                  <a:xfrm>
                                    <a:off x="1236916" y="3054153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1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Surse de energie regenerabilă: </w:t>
                                      </w: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Chimie joacă un rol de bază în îmbunătățirea eficienței panourilor solare și tehnologiilor de captare și stocare a energiei.</w:t>
                                      </w:r>
                                    </w:p>
                                  </w:txbxContent>
                                </wps:txbx>
                                <wps:bodyPr anchorCtr="0" anchor="t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1150620" y="3619335"/>
                                    <a:ext cx="4602480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A5A5A5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0" y="3648307"/>
                                    <a:ext cx="5753100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12700">
                                    <a:solidFill>
                                      <a:srgbClr val="959595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2" name="Shape 32"/>
                                <wps:spPr>
                                  <a:xfrm>
                                    <a:off x="0" y="3648307"/>
                                    <a:ext cx="1150620" cy="12158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33" name="Shape 33"/>
                                <wps:spPr>
                                  <a:xfrm>
                                    <a:off x="0" y="3648307"/>
                                    <a:ext cx="1150620" cy="12158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Industria alimentară</w:t>
                                      </w: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:</w:t>
                                      </w:r>
                                    </w:p>
                                  </w:txbxContent>
                                </wps:txbx>
                                <wps:bodyPr anchorCtr="0" anchor="t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34" name="Shape 34"/>
                                <wps:spPr>
                                  <a:xfrm>
                                    <a:off x="1236916" y="3676566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35" name="Shape 35"/>
                                <wps:spPr>
                                  <a:xfrm>
                                    <a:off x="1236916" y="3676566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1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Aditivi și conservanți: </w:t>
                                      </w: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Substanțele chimice sunt utilizate pentru a îmbunătăți gustul, textura și durata de păstrare a alimentelor.</w:t>
                                      </w:r>
                                    </w:p>
                                  </w:txbxContent>
                                </wps:txbx>
                                <wps:bodyPr anchorCtr="0" anchor="t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1150620" y="4241749"/>
                                    <a:ext cx="4602480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A5A5A5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7" name="Shape 37"/>
                                <wps:spPr>
                                  <a:xfrm>
                                    <a:off x="1236916" y="4270008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38" name="Shape 38"/>
                                <wps:spPr>
                                  <a:xfrm>
                                    <a:off x="1236916" y="4270008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1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Ambalaje inteligente: </w:t>
                                      </w: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Materialele chimice inovatoare permit ambalajele să indice prospețimea sau să elibereze conservanți în mod controlat.</w:t>
                                      </w:r>
                                    </w:p>
                                  </w:txbxContent>
                                </wps:txbx>
                                <wps:bodyPr anchorCtr="0" anchor="t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1150620" y="4835191"/>
                                    <a:ext cx="4602480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A5A5A5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0" y="4864162"/>
                                    <a:ext cx="5753100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12700">
                                    <a:solidFill>
                                      <a:srgbClr val="959595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1" name="Shape 41"/>
                                <wps:spPr>
                                  <a:xfrm>
                                    <a:off x="0" y="4864162"/>
                                    <a:ext cx="1150620" cy="12158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42" name="Shape 42"/>
                                <wps:spPr>
                                  <a:xfrm>
                                    <a:off x="0" y="4864162"/>
                                    <a:ext cx="1150620" cy="12158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Medii sustenabile</w:t>
                                      </w: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:</w:t>
                                      </w:r>
                                    </w:p>
                                  </w:txbxContent>
                                </wps:txbx>
                                <wps:bodyPr anchorCtr="0" anchor="t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43" name="Shape 43"/>
                                <wps:spPr>
                                  <a:xfrm>
                                    <a:off x="1236916" y="4892421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44" name="Shape 44"/>
                                <wps:spPr>
                                  <a:xfrm>
                                    <a:off x="1236916" y="4892421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1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Chimie verde: </w:t>
                                      </w: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Dezvoltarea proceselor chimice mai prietenoase cu mediul, reducerea deșeurilor și utilizarea surselor de energie regenerabilă.</w:t>
                                      </w:r>
                                    </w:p>
                                  </w:txbxContent>
                                </wps:txbx>
                                <wps:bodyPr anchorCtr="0" anchor="t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1150620" y="5457604"/>
                                    <a:ext cx="4602480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A5A5A5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6" name="Shape 46"/>
                                <wps:spPr>
                                  <a:xfrm>
                                    <a:off x="1236916" y="5485863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47" name="Shape 47"/>
                                <wps:spPr>
                                  <a:xfrm>
                                    <a:off x="1236916" y="5485863"/>
                                    <a:ext cx="4516183" cy="565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1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Reciclare și reutilizare: </w:t>
                                      </w: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Tehnologiile moderne permit reciclarea mai eficientă a materialelor plastice, metalelor și altor resurse.</w:t>
                                      </w:r>
                                    </w:p>
                                  </w:txbxContent>
                                </wps:txbx>
                                <wps:bodyPr anchorCtr="0" anchor="t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1150620" y="6051046"/>
                                    <a:ext cx="4602480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A5A5A5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753100" cy="6080760"/>
                      <wp:effectExtent b="0" l="0" r="0" t="0"/>
                      <wp:docPr id="3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753100" cy="60807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10'</w:t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Discuție ghidată;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Formularea concluziilor;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Schema nr. 2;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Frontal;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GPP</w:t>
            </w:r>
          </w:p>
        </w:tc>
      </w:tr>
      <w:tr>
        <w:trPr>
          <w:cantSplit w:val="0"/>
          <w:trHeight w:val="54" w:hRule="atLeast"/>
          <w:tblHeader w:val="0"/>
        </w:trPr>
        <w:tc>
          <w:tcPr/>
          <w:p w:rsidR="00000000" w:rsidDel="00000000" w:rsidP="00000000" w:rsidRDefault="00000000" w:rsidRPr="00000000" w14:paraId="00000084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Reflecție</w:t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8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8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propune identificarea metalelor din care sunt confecționate telefoanele mobile. Prezentați informația și expuneți concluzii privind legătura între chimie și tehnologiile moderne.</w:t>
            </w:r>
          </w:p>
          <w:p w:rsidR="00000000" w:rsidDel="00000000" w:rsidP="00000000" w:rsidRDefault="00000000" w:rsidRPr="00000000" w14:paraId="00000089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Instrucțiuni: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Folosiți telefoanele mobile și internetul pentru a căuta informații despre cel puțin zece metale conținute în materialele din care sunt fabricate telefoanele mobile. 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Pentru fiecare metal din listă, documentați următoarele: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Simbolul chimic și numărul atomic;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Utilizare specifică în telefonul mobil (de exemplu, circuite, baterie, ecran etc.);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Proprietatea fizică ce stă la baza utilizării elementului;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Pentru unul din elementele identificate, scrieți o ecuație a reacției de obținere și o proprietate chimică.</w:t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20'</w:t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Cercetarea surselor;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Formularea concluziilor;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GGP</w:t>
            </w:r>
          </w:p>
        </w:tc>
      </w:tr>
      <w:tr>
        <w:trPr>
          <w:cantSplit w:val="0"/>
          <w:trHeight w:val="54" w:hRule="atLeast"/>
          <w:tblHeader w:val="0"/>
        </w:trPr>
        <w:tc>
          <w:tcPr/>
          <w:p w:rsidR="00000000" w:rsidDel="00000000" w:rsidP="00000000" w:rsidRDefault="00000000" w:rsidRPr="00000000" w14:paraId="00000095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Extindere</w:t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9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propune realizarea unui eseu de o pagină, care implică un exercițiu imaginar de identificare a câtorva domenii tehnologice de viitor și explorarea impactului chimiei în dezvoltarea acestora.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Definirea scopului eseului de a identifica și analiza aceste domenii din perspectiva impactului chimiei asupra lor.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Identificarea a 2 - 3 domenii tehnologice emergente sau anticipate pentru viitor (de exemplu, inteligența artificială, biotehnologia, energia regenerabilă etc.). Argumentarea relevanței acestor domenii în contextul progresului tehnologic și al nevoilor societății moderne.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Detalierea modului în care chimia contribuie la dezvoltarea și avansarea fiecărui domeniu identificat. 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Analiza beneficiilor și provocărilor aduse de aplicarea cunoștințelor chimice în aceste contexte tehnologice avansate.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Concluzie</w:t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1'</w:t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Eseu;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Individual </w:t>
            </w:r>
          </w:p>
        </w:tc>
      </w:tr>
    </w:tbl>
    <w:p w:rsidR="00000000" w:rsidDel="00000000" w:rsidP="00000000" w:rsidRDefault="00000000" w:rsidRPr="00000000" w14:paraId="000000A2">
      <w:pPr>
        <w:spacing w:after="0" w:lineRule="auto"/>
        <w:ind w:firstLine="709"/>
        <w:jc w:val="both"/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5">
    <w:lvl w:ilvl="0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6"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decimalZero"/>
      <w:lvlText w:val="%1"/>
      <w:lvlJc w:val="left"/>
      <w:pPr>
        <w:ind w:left="1068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788" w:hanging="360"/>
      </w:pPr>
      <w:rPr/>
    </w:lvl>
    <w:lvl w:ilvl="2">
      <w:start w:val="1"/>
      <w:numFmt w:val="lowerRoman"/>
      <w:lvlText w:val="%3."/>
      <w:lvlJc w:val="right"/>
      <w:pPr>
        <w:ind w:left="2508" w:hanging="180"/>
      </w:pPr>
      <w:rPr/>
    </w:lvl>
    <w:lvl w:ilvl="3">
      <w:start w:val="1"/>
      <w:numFmt w:val="decimal"/>
      <w:lvlText w:val="%4."/>
      <w:lvlJc w:val="left"/>
      <w:pPr>
        <w:ind w:left="3228" w:hanging="360"/>
      </w:pPr>
      <w:rPr/>
    </w:lvl>
    <w:lvl w:ilvl="4">
      <w:start w:val="1"/>
      <w:numFmt w:val="lowerLetter"/>
      <w:lvlText w:val="%5."/>
      <w:lvlJc w:val="left"/>
      <w:pPr>
        <w:ind w:left="3948" w:hanging="360"/>
      </w:pPr>
      <w:rPr/>
    </w:lvl>
    <w:lvl w:ilvl="5">
      <w:start w:val="1"/>
      <w:numFmt w:val="lowerRoman"/>
      <w:lvlText w:val="%6."/>
      <w:lvlJc w:val="right"/>
      <w:pPr>
        <w:ind w:left="4668" w:hanging="180"/>
      </w:pPr>
      <w:rPr/>
    </w:lvl>
    <w:lvl w:ilvl="6">
      <w:start w:val="1"/>
      <w:numFmt w:val="decimal"/>
      <w:lvlText w:val="%7."/>
      <w:lvlJc w:val="left"/>
      <w:pPr>
        <w:ind w:left="5388" w:hanging="360"/>
      </w:pPr>
      <w:rPr/>
    </w:lvl>
    <w:lvl w:ilvl="7">
      <w:start w:val="1"/>
      <w:numFmt w:val="lowerLetter"/>
      <w:lvlText w:val="%8."/>
      <w:lvlJc w:val="left"/>
      <w:pPr>
        <w:ind w:left="6108" w:hanging="360"/>
      </w:pPr>
      <w:rPr/>
    </w:lvl>
    <w:lvl w:ilvl="8">
      <w:start w:val="1"/>
      <w:numFmt w:val="lowerRoman"/>
      <w:lvlText w:val="%9."/>
      <w:lvlJc w:val="right"/>
      <w:pPr>
        <w:ind w:left="6828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o-RO"/>
      </w:rPr>
    </w:rPrDefault>
    <w:pPrDefault>
      <w:pPr>
        <w:spacing w:after="16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F335EB"/>
    <w:pPr>
      <w:spacing w:line="240" w:lineRule="auto"/>
    </w:pPr>
    <w:rPr>
      <w:rFonts w:ascii="Times New Roman" w:hAnsi="Times New Roman"/>
      <w:sz w:val="28"/>
      <w:lang w:val="ro-RO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F335EB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F335EB"/>
    <w:rPr>
      <w:color w:val="0563c1" w:themeColor="hyperlink"/>
      <w:u w:val="single"/>
    </w:rPr>
  </w:style>
  <w:style w:type="table" w:styleId="TableGrid1" w:customStyle="1">
    <w:name w:val="Table Grid1"/>
    <w:basedOn w:val="TableNormal"/>
    <w:next w:val="TableGrid"/>
    <w:uiPriority w:val="59"/>
    <w:rsid w:val="00F335EB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Grid">
    <w:name w:val="Table Grid"/>
    <w:basedOn w:val="TableNormal"/>
    <w:uiPriority w:val="39"/>
    <w:rsid w:val="00F335EB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youtu.be/cKvGzS8LYbY?si=SDPwNgDmQ9nws7Mk" TargetMode="Externa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FpGbzvKhgjqiVMfQ0LPOTC6kDw==">CgMxLjAyCGguZ2pkZ3hzOAByITFneURjT3FkUmctQlJJMG1kZldkeXVIT2ItVzhjT1phWg==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2024-09-27T19:36:00Z</dcterms:created>
  <dc:creator>Gandrabur</dc:creator>
</cp:coreProperties>
</file>